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tabs>
          <w:tab w:val="right" w:pos="9922"/>
        </w:tabs>
        <w:rPr>
          <w:rFonts w:ascii="Times New Roman" w:hAnsi="Times New Roman" w:cs="Times New Roman"/>
        </w:rPr>
      </w:pP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tabs>
          <w:tab w:val="right" w:pos="9922"/>
        </w:tabs>
        <w:rPr>
          <w:rFonts w:ascii="Times New Roman" w:hAnsi="Times New Roman" w:cs="Times New Roman"/>
        </w:rPr>
      </w:pPr>
    </w:p>
    <w:p w:rsidR="002A77B1" w:rsidRDefault="002103A6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5080" distL="0" distR="0">
            <wp:extent cx="2814955" cy="1900555"/>
            <wp:effectExtent l="0" t="0" r="0" b="0"/>
            <wp:docPr id="1" name="Рисунок 53" descr="Перейти на Главну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3" descr="Перейти на Главную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2A77B1" w:rsidRDefault="002103A6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000080"/>
          <w:sz w:val="52"/>
          <w:szCs w:val="52"/>
        </w:rPr>
        <w:t xml:space="preserve">ГЛАВА 7 </w:t>
      </w:r>
    </w:p>
    <w:p w:rsidR="002A77B1" w:rsidRDefault="002103A6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80"/>
          <w:sz w:val="56"/>
          <w:szCs w:val="56"/>
        </w:rPr>
        <w:t>Предложения по строительству, реконструкции и техническому перевооружению источников тепловой энергии</w:t>
      </w:r>
    </w:p>
    <w:p w:rsidR="002A77B1" w:rsidRDefault="002103A6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80"/>
          <w:sz w:val="56"/>
          <w:szCs w:val="56"/>
        </w:rPr>
        <w:t>Локомотивного городского округа</w:t>
      </w:r>
    </w:p>
    <w:p w:rsidR="002A77B1" w:rsidRDefault="002103A6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tabs>
          <w:tab w:val="left" w:pos="2993"/>
        </w:tabs>
        <w:spacing w:after="120"/>
        <w:rPr>
          <w:rFonts w:ascii="Times New Roman" w:hAnsi="Times New Roman" w:cs="Times New Roman"/>
          <w:b/>
          <w:bCs/>
          <w:color w:val="000080"/>
        </w:rPr>
      </w:pPr>
      <w:r>
        <w:rPr>
          <w:rFonts w:ascii="Times New Roman" w:hAnsi="Times New Roman" w:cs="Times New Roman"/>
          <w:b/>
          <w:bCs/>
          <w:color w:val="000080"/>
        </w:rPr>
        <w:tab/>
      </w: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</w:p>
    <w:p w:rsidR="002A77B1" w:rsidRDefault="00130139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  <w:color w:val="000080"/>
        </w:rPr>
      </w:pPr>
      <w:r>
        <w:rPr>
          <w:rFonts w:ascii="Times New Roman" w:hAnsi="Times New Roman" w:cs="Times New Roman"/>
          <w:b/>
          <w:bCs/>
          <w:color w:val="C00000"/>
        </w:rPr>
        <w:t>2022</w:t>
      </w:r>
      <w:r w:rsidR="002103A6">
        <w:rPr>
          <w:rFonts w:ascii="Times New Roman" w:hAnsi="Times New Roman" w:cs="Times New Roman"/>
          <w:b/>
          <w:bCs/>
          <w:color w:val="C00000"/>
        </w:rPr>
        <w:t xml:space="preserve"> год</w:t>
      </w:r>
    </w:p>
    <w:p w:rsidR="002A77B1" w:rsidRDefault="002A77B1">
      <w:pPr>
        <w:pBdr>
          <w:top w:val="single" w:sz="12" w:space="1" w:color="000000"/>
          <w:left w:val="single" w:sz="12" w:space="1" w:color="000000"/>
          <w:bottom w:val="single" w:sz="12" w:space="0" w:color="000000"/>
          <w:right w:val="single" w:sz="12" w:space="0" w:color="000000"/>
        </w:pBdr>
        <w:spacing w:after="120"/>
        <w:jc w:val="center"/>
        <w:rPr>
          <w:rFonts w:ascii="Times New Roman" w:hAnsi="Times New Roman" w:cs="Times New Roman"/>
          <w:b/>
          <w:bCs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СОДЕРЖАНИЕ: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7.1. Описание условий организации централизованного теплоснабжения, индиви-дуального теплоснабжения, а также поквартирного отопления…………..…………..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…………3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7.2. Описание текущей ситуации, связанной с ранее принятыми в соответствии с законодательством РФ об электроэнергетике решениями, об отнесении генерирующих  объектов к генерирующим объектам, мощность которых поставляется в вынужденном режи-ме в целях обеспечения надежного теплоснабжения потребителей……….………..…………..4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7.3. Анализ надежности и качества теплоснабжения для случаев отнесения  генери-рующего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 в целях обеспечения надежного теплоснабжения потребителей, в соответствующем году долгосрочного конку-рентного отбора мощности на оптовом рынке электрической энергии (мощности) на соот-ветствующий период), в соответствии с методическими  указаниями по разработке схем теплоснабжения……………………………………………………………………………….…….4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7.4.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энер-гии, для обеспечения перспективных тепловых нагрузок…….……………………………...….4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7.5. Обоснование предлагаемых для реконструкции действующих источников   теп-ловой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нагрузок…………..4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7.6. Обоснование предложений по переоборудованию котельных в источники    тепловой энергии, функционирующие в режиме комбинированной выработки электричес-кой и тепловой энергии, с выработкой электроэнергии на собственные нужды  теплоснаб-жающей организации в отношении источника тепловой энергии, на базе существующих и перспективных тепловых нагрузок………………………………………..…………..…………...4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7.7. Обоснование предлагаемых для реконструкции котельных с увеличением зоны их действия путем включения в нее зон действия, существующих источников тепловой энергии…………………………………………………………………………………..…………...5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7.8.  Обоснование предлагаемых для перевода в пиковый режим работы  котельных по отношению к источникам тепловой энергии, функционирующим в режиме комбинирован-ной выработки электрической и тепловой энергии…………………………………………...….5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7.9. Обоснование предложений по расширению зон действия действующих источ-ников тепловой энергии, функционирующих в режиме комбинированной выработки электри-ческой и тепловой энергии……………………………………………………………………..…..5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7.10.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энергии…………………………………………………………………………………………..…..5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7.11. Обоснование организации индивидуального теплоснабжения в зонах застройки поселения малоэтажными жилыми зданиями…………………………………..…….5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7.12.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поселения……………………........6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13. Анализ целесообразности ввода новых и реконструкции существующих   источников тепловой энергии с использованием возобновляемых источников энергии, а также местных видов топлива…………………………………………………………….……..…7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7.14. Обоснование организации теплоснабжения в производственных зонах на   территории городского поселения……………………………………………………….…..…….8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lastRenderedPageBreak/>
        <w:tab/>
        <w:t>7.15. Результаты расчетов радиуса эффективного теплоснабжения……………..……9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7.1. Описание условий организации централизованного теплоснабжения, индивидуального теплоснабжения, а также поквартирного отопления.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pStyle w:val="Default"/>
        <w:spacing w:line="360" w:lineRule="auto"/>
        <w:ind w:firstLine="709"/>
        <w:jc w:val="both"/>
        <w:rPr>
          <w:rFonts w:asciiTheme="minorHAnsi" w:hAnsiTheme="minorHAnsi"/>
          <w:color w:val="0F243E" w:themeColor="text2" w:themeShade="80"/>
        </w:rPr>
      </w:pPr>
      <w:r>
        <w:rPr>
          <w:color w:val="0F243E" w:themeColor="text2" w:themeShade="80"/>
        </w:rPr>
        <w:t>НатерриторииЛокомотивного городского округа</w:t>
      </w:r>
      <w:r>
        <w:rPr>
          <w:rStyle w:val="S"/>
          <w:rFonts w:eastAsiaTheme="minorHAnsi"/>
          <w:color w:val="0F243E" w:themeColor="text2" w:themeShade="80"/>
        </w:rPr>
        <w:t>эксплуатациейисточников теплоснабженияитепловыхсетейсистемыцентрализованноготеплоснаб</w:t>
      </w:r>
      <w:r>
        <w:rPr>
          <w:rStyle w:val="S"/>
          <w:rFonts w:ascii="New York" w:eastAsiaTheme="minorHAnsi" w:hAnsi="New York"/>
          <w:color w:val="0F243E" w:themeColor="text2" w:themeShade="80"/>
        </w:rPr>
        <w:softHyphen/>
      </w:r>
      <w:r>
        <w:rPr>
          <w:rStyle w:val="S"/>
          <w:rFonts w:eastAsiaTheme="minorHAnsi"/>
          <w:color w:val="0F243E" w:themeColor="text2" w:themeShade="80"/>
        </w:rPr>
        <w:t>женияосу-ществляется по зонам</w:t>
      </w:r>
      <w:r>
        <w:rPr>
          <w:rFonts w:asciiTheme="minorHAnsi" w:hAnsiTheme="minorHAnsi"/>
          <w:color w:val="0F243E" w:themeColor="text2" w:themeShade="80"/>
        </w:rPr>
        <w:t>:</w:t>
      </w:r>
    </w:p>
    <w:p w:rsidR="002A77B1" w:rsidRDefault="002103A6">
      <w:pPr>
        <w:spacing w:line="360" w:lineRule="auto"/>
        <w:ind w:firstLine="708"/>
        <w:jc w:val="both"/>
        <w:rPr>
          <w:rFonts w:ascii="New York" w:hAnsi="New York"/>
          <w:color w:val="0F243E"/>
          <w:sz w:val="24"/>
          <w:szCs w:val="24"/>
        </w:rPr>
      </w:pPr>
      <w:r>
        <w:rPr>
          <w:b/>
          <w:color w:val="C00000"/>
          <w:sz w:val="24"/>
          <w:szCs w:val="24"/>
        </w:rPr>
        <w:t>1</w:t>
      </w:r>
      <w:r>
        <w:rPr>
          <w:rFonts w:ascii="New York" w:hAnsi="New York"/>
          <w:b/>
          <w:color w:val="C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язона</w:t>
      </w:r>
      <w:r>
        <w:rPr>
          <w:rFonts w:ascii="New York" w:hAnsi="New York"/>
          <w:color w:val="0F243E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F243E"/>
          <w:sz w:val="24"/>
          <w:szCs w:val="24"/>
        </w:rPr>
        <w:t>котельная</w:t>
      </w:r>
      <w:r>
        <w:rPr>
          <w:rFonts w:ascii="New York" w:hAnsi="New York"/>
          <w:color w:val="0F243E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0F243E"/>
          <w:sz w:val="24"/>
          <w:szCs w:val="24"/>
        </w:rPr>
        <w:t>Центральная</w:t>
      </w:r>
      <w:r>
        <w:rPr>
          <w:rFonts w:ascii="New York" w:hAnsi="New York" w:cs="New York"/>
          <w:color w:val="0F243E"/>
          <w:sz w:val="24"/>
          <w:szCs w:val="24"/>
        </w:rPr>
        <w:t>»</w:t>
      </w:r>
      <w:r>
        <w:rPr>
          <w:rFonts w:ascii="Times New Roman" w:hAnsi="Times New Roman" w:cs="Times New Roman"/>
          <w:color w:val="0F243E"/>
          <w:sz w:val="24"/>
          <w:szCs w:val="24"/>
        </w:rPr>
        <w:t>степловымисетямиисетямиГВСэксплуа-тируетсяАО</w:t>
      </w:r>
      <w:r>
        <w:rPr>
          <w:rFonts w:ascii="New York" w:hAnsi="New York" w:cs="New York"/>
          <w:color w:val="0F243E"/>
          <w:sz w:val="24"/>
          <w:szCs w:val="24"/>
        </w:rPr>
        <w:t>«</w:t>
      </w:r>
      <w:r>
        <w:rPr>
          <w:rFonts w:ascii="Times New Roman" w:hAnsi="Times New Roman" w:cs="Times New Roman"/>
          <w:color w:val="0F243E"/>
          <w:sz w:val="24"/>
          <w:szCs w:val="24"/>
        </w:rPr>
        <w:t>Челябоблкоммунэнерго</w:t>
      </w:r>
      <w:r>
        <w:rPr>
          <w:rFonts w:ascii="New York" w:hAnsi="New York" w:cs="New York"/>
          <w:color w:val="0F243E"/>
          <w:sz w:val="24"/>
          <w:szCs w:val="24"/>
        </w:rPr>
        <w:t>»</w:t>
      </w:r>
      <w:r>
        <w:rPr>
          <w:rFonts w:ascii="New York" w:hAnsi="New York"/>
          <w:color w:val="0F243E"/>
          <w:sz w:val="24"/>
          <w:szCs w:val="24"/>
        </w:rPr>
        <w:t>.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Теплоснабжающаяорганизациявырабатывает</w:t>
      </w:r>
      <w:r>
        <w:rPr>
          <w:color w:val="0F243E" w:themeColor="text2" w:themeShade="80"/>
          <w:sz w:val="24"/>
          <w:szCs w:val="24"/>
        </w:rPr>
        <w:t>,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транспортирует,распределяеттепловуюэнергиюконечнымпотребителямввидегорячейводы</w:t>
      </w:r>
      <w:r>
        <w:rPr>
          <w:rFonts w:ascii="New York" w:hAnsi="New York"/>
          <w:color w:val="0F243E" w:themeColor="text2" w:themeShade="80"/>
          <w:sz w:val="24"/>
          <w:szCs w:val="24"/>
        </w:rPr>
        <w:t>.</w:t>
      </w:r>
      <w:r>
        <w:rPr>
          <w:rFonts w:ascii="Times New Roman" w:hAnsi="Times New Roman" w:cs="Times New Roman"/>
          <w:color w:val="0F243E"/>
          <w:sz w:val="24"/>
          <w:szCs w:val="24"/>
        </w:rPr>
        <w:t>Теплоснабжениеосуществляетсядляжилогофонда</w:t>
      </w:r>
      <w:r>
        <w:rPr>
          <w:rFonts w:ascii="New York" w:hAnsi="New York"/>
          <w:color w:val="0F243E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F243E"/>
          <w:sz w:val="24"/>
          <w:szCs w:val="24"/>
        </w:rPr>
        <w:t>объектовсоцкультбытаипрочихпотребителей</w:t>
      </w:r>
      <w:r>
        <w:rPr>
          <w:color w:val="0F243E"/>
          <w:sz w:val="24"/>
          <w:szCs w:val="24"/>
        </w:rPr>
        <w:t>.</w:t>
      </w:r>
    </w:p>
    <w:p w:rsidR="002A77B1" w:rsidRDefault="002103A6">
      <w:pPr>
        <w:pStyle w:val="Default"/>
        <w:spacing w:line="360" w:lineRule="auto"/>
        <w:ind w:firstLine="709"/>
        <w:jc w:val="both"/>
        <w:rPr>
          <w:color w:val="0F243E"/>
        </w:rPr>
      </w:pPr>
      <w:r>
        <w:rPr>
          <w:b/>
          <w:color w:val="C00000"/>
        </w:rPr>
        <w:t>2-я зона</w:t>
      </w:r>
      <w:r>
        <w:rPr>
          <w:color w:val="0F243E"/>
        </w:rPr>
        <w:t xml:space="preserve">– частные газовые источники теплоснабжения, которые эксплуатируются самостоятельно юридическими лицами. Вырабатываемая тепловая энергия используется только для собственных нужд данных объектов. 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8890" distL="0" distR="8255">
            <wp:extent cx="5954395" cy="5230495"/>
            <wp:effectExtent l="0" t="0" r="0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856" t="4179" r="14780" b="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7.2. Описание текущей ситуации, связанной с ранее принятыми в соответствии с законодательством РФ об электроэнергетике решениями, об отнесении генерирующих  объектов к генерирующим объектам, мощность которых поставляется в вынужденном режиме в целях обеспечения надежного теплоснабжения потребителей.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Генерирующие объекты, на территории Локомотивного городского округа, отсутствуют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7.3. Анализ надежности и качества теплоснабжения для случаев отнесения 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объек-та к объектам, электрическая мощность которых поставляется в вынужденном режиме 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 указаниями по разработке схем теплоснабжения.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Генерирующие объекты, на территории Локомотивного городского округа, отсутствуют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ab/>
        <w:t>7.4. Обоснование предлагаемых для строительства источников тепловой энергии, функционирующих в режиме комбинированной выработки электрической и  тепловой энергии, для обеспечения перспективных тепловых нагрузок.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Строительства источников тепловой энергии, функционирующих в режиме комби-нированной выработки электрической и тепловой энергии на территории Локомотивного городского округа не планируются.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7.5. Обоснование предлагаемых для реконструкции действующих источников   тепловой энергии, функционирующих в режиме комбинированной выработки элект-рической и тепловой энергии, для обеспечения перспективных приростов тепловых нагрузок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Реконструкция действующих источников тепловой энергии, функционирующих в режиме комбинированной выработки электрической и тепловой энергии на территории Локомотивного городского округа не планируются, в виду их отсутствия.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7.6. Обоснование предложений по переоборудованию котельных в источники    тепловой энергии, функционирующие в режиме комбинированной выработки  элект-рической и тепловой энергии, с выработкой электроэнергии на собственные нужды  теплоснабжающей организации в отношении источника тепловой энергии, на базе существующих и перспективных тепловых нагрузок.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Переоборудование котельных в источники источников тепловой энергии, функ-ционирующих в режиме комбинированной выработки электрической и тепловой энергии на территории Локомотивного городского округа не планируются, в виду их отсутствия.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7.7. Обоснование предлагаемых для реконструкции котельных с увеличением зоны их действия путем включения в нее зон действия, существующих источников тепловой энергии.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Реконструкции котельных, с увеличением зоны их действия путем включения в нее зон действия, существующих источников тепловой энергии на территории Локомотивного городского округа не планируются.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7.8.  Обоснование предлагаемых для перевода в пиковый режим работы  ко-тельных по отношению к источникам тепловой энергии, функционирующим в режиме комбинированной выработки электрической и тепловой энергии.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 xml:space="preserve">Перевод в пиковый режим работы котельных на территории Локомотивного городского округа по отношению к источникам тепловой энергии, функционирующим в режиме комбинированной выработки электрической и тепловой энергии, не планируется, а </w:t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lastRenderedPageBreak/>
        <w:t>функционирующие в режиме комбинированной выработки электрической и тепловой энергии отсутствуют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7.9. Обоснование предложений по расширению зон действия действующих источников тепловой энергии, функционирующих в режиме комбинированной выра-ботки электрической и тепловой энергии.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Расширение зон действия действующих источников тепловой энергии, функционирующих в режиме комбинированной выработки электрической и тепловой энергии не планируется, в виду их отсутствия на территории Локомотивного городского округа.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6"/>
          <w:szCs w:val="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7.10. Обоснование предлагаемых для вывода в резерв и (или) вывода из эксплуатации котельных при передаче тепловых нагрузок на другие источники тепловой энергии.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Вывод в резерв и (или) вывод из эксплуатации котельных при передаче тепловых нагрузок на другие источники тепловой энергии не планируется на территории Локомотивного городского округа.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7.11. Обоснование организации индивидуального теплоснабжения в зонах застройки поселения малоэтажными жилыми зданиями.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Под индивидуальными источниками теплоснабжения понимается теплоснабжение от конкретных индивидуальных источников тепла – газовых, электрокотлов и печного отопления.</w:t>
      </w:r>
    </w:p>
    <w:p w:rsidR="002A77B1" w:rsidRDefault="002103A6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Малоэтажная застройка (частный сектор) не территории Локомотивного городского округа отсутствует.</w:t>
      </w:r>
    </w:p>
    <w:p w:rsidR="002A77B1" w:rsidRDefault="002103A6">
      <w:pPr>
        <w:spacing w:after="0" w:line="360" w:lineRule="auto"/>
        <w:contextualSpacing/>
        <w:jc w:val="both"/>
        <w:rPr>
          <w:rFonts w:ascii="New York" w:hAnsi="New York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Вперспективестроительствоиндивидуальногоисточникатеплоснабжения не планируется</w:t>
      </w:r>
      <w:r>
        <w:rPr>
          <w:rFonts w:ascii="New York" w:hAnsi="New York" w:cs="Times New Roman"/>
          <w:color w:val="0F243E" w:themeColor="text2" w:themeShade="80"/>
          <w:sz w:val="24"/>
          <w:szCs w:val="24"/>
        </w:rPr>
        <w:t>.</w:t>
      </w:r>
    </w:p>
    <w:p w:rsidR="002A77B1" w:rsidRDefault="002103A6">
      <w:pPr>
        <w:spacing w:after="0" w:line="360" w:lineRule="auto"/>
        <w:ind w:firstLine="708"/>
        <w:jc w:val="both"/>
        <w:rPr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Индивидуальноепоквартирноеотоплениевмногоквартирныхжилыхдомахнеприменяетсяи запрещено,всоответствиистребованиямип</w:t>
      </w:r>
      <w:r>
        <w:rPr>
          <w:rFonts w:ascii="New York" w:hAnsi="New York"/>
          <w:color w:val="0F243E" w:themeColor="text2" w:themeShade="80"/>
          <w:sz w:val="24"/>
          <w:szCs w:val="24"/>
        </w:rPr>
        <w:t xml:space="preserve">. </w:t>
      </w:r>
      <w:r>
        <w:rPr>
          <w:color w:val="0F243E" w:themeColor="text2" w:themeShade="80"/>
          <w:sz w:val="24"/>
          <w:szCs w:val="24"/>
        </w:rPr>
        <w:t>15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статьи</w:t>
      </w:r>
      <w:r>
        <w:rPr>
          <w:color w:val="0F243E" w:themeColor="text2" w:themeShade="80"/>
          <w:sz w:val="24"/>
          <w:szCs w:val="24"/>
        </w:rPr>
        <w:t>14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ФЗ№</w:t>
      </w:r>
      <w:r>
        <w:rPr>
          <w:color w:val="0F243E" w:themeColor="text2" w:themeShade="80"/>
          <w:sz w:val="24"/>
          <w:szCs w:val="24"/>
        </w:rPr>
        <w:t>190</w:t>
      </w:r>
      <w:r>
        <w:rPr>
          <w:rFonts w:ascii="New York" w:hAnsi="New York" w:cs="New York"/>
          <w:color w:val="0F243E" w:themeColor="text2" w:themeShade="80"/>
          <w:sz w:val="24"/>
          <w:szCs w:val="24"/>
        </w:rPr>
        <w:t>«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Отеплоснабжении</w:t>
      </w:r>
      <w:r>
        <w:rPr>
          <w:rFonts w:ascii="New York" w:hAnsi="New York" w:cs="New York"/>
          <w:color w:val="0F243E" w:themeColor="text2" w:themeShade="80"/>
          <w:sz w:val="24"/>
          <w:szCs w:val="24"/>
        </w:rPr>
        <w:t>»«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апрещаетсяпереходнаотоплениежилыхпомещенийвмногоквартирныхдомахсиспользованиеминдивидуальныхквартирныхисточниковтепловойэнергииприналичииосуществлённоговнадлежащемпорядкеподключенияксистемамтепло</w:t>
      </w:r>
      <w:r>
        <w:rPr>
          <w:rFonts w:ascii="New York" w:hAnsi="New York"/>
          <w:color w:val="0F243E" w:themeColor="text2" w:themeShade="80"/>
          <w:sz w:val="24"/>
          <w:szCs w:val="24"/>
        </w:rPr>
        <w:softHyphen/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снабжениямногоквартирныхдомов</w:t>
      </w:r>
      <w:r>
        <w:rPr>
          <w:rFonts w:ascii="New York" w:hAnsi="New York" w:cs="New York"/>
          <w:color w:val="0F243E" w:themeColor="text2" w:themeShade="80"/>
          <w:sz w:val="24"/>
          <w:szCs w:val="24"/>
        </w:rPr>
        <w:t>»</w:t>
      </w:r>
      <w:r>
        <w:rPr>
          <w:rFonts w:ascii="New York" w:hAnsi="New York"/>
          <w:color w:val="0F243E" w:themeColor="text2" w:themeShade="80"/>
          <w:sz w:val="24"/>
          <w:szCs w:val="24"/>
        </w:rPr>
        <w:t xml:space="preserve">. </w:t>
      </w:r>
    </w:p>
    <w:p w:rsidR="002A77B1" w:rsidRDefault="002103A6">
      <w:pPr>
        <w:spacing w:after="0" w:line="360" w:lineRule="auto"/>
        <w:ind w:firstLine="360"/>
        <w:rPr>
          <w:rFonts w:ascii="New York" w:hAnsi="New York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Использованиеавто</w:t>
      </w:r>
      <w:r>
        <w:rPr>
          <w:rFonts w:ascii="New York" w:hAnsi="New York"/>
          <w:color w:val="0F243E" w:themeColor="text2" w:themeShade="80"/>
          <w:sz w:val="24"/>
          <w:szCs w:val="24"/>
        </w:rPr>
        <w:softHyphen/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номныхисточниковтеплоснабженияцелесообразновслучаях</w:t>
      </w:r>
      <w:r>
        <w:rPr>
          <w:rFonts w:ascii="New York" w:hAnsi="New York"/>
          <w:color w:val="0F243E" w:themeColor="text2" w:themeShade="80"/>
          <w:sz w:val="24"/>
          <w:szCs w:val="24"/>
        </w:rPr>
        <w:t>:</w:t>
      </w:r>
    </w:p>
    <w:p w:rsidR="002A77B1" w:rsidRDefault="002103A6">
      <w:pPr>
        <w:pStyle w:val="afe"/>
        <w:spacing w:after="0" w:line="360" w:lineRule="auto"/>
        <w:ind w:left="0" w:firstLine="360"/>
        <w:rPr>
          <w:color w:val="0F243E" w:themeColor="text2" w:themeShade="80"/>
        </w:rPr>
      </w:pPr>
      <w:r>
        <w:rPr>
          <w:color w:val="0F243E" w:themeColor="text2" w:themeShade="80"/>
        </w:rPr>
        <w:t>- значительной удаленности от существующих и перспективных тепловых сетей;</w:t>
      </w:r>
    </w:p>
    <w:p w:rsidR="002A77B1" w:rsidRDefault="002103A6">
      <w:pPr>
        <w:pStyle w:val="afe"/>
        <w:spacing w:after="0" w:line="360" w:lineRule="auto"/>
        <w:ind w:left="0" w:firstLine="360"/>
        <w:rPr>
          <w:color w:val="0F243E" w:themeColor="text2" w:themeShade="80"/>
        </w:rPr>
      </w:pPr>
      <w:r>
        <w:rPr>
          <w:color w:val="0F243E" w:themeColor="text2" w:themeShade="80"/>
        </w:rPr>
        <w:t>- малой подключаемой нагрузки (менее 0,01 Гкал/ч);</w:t>
      </w:r>
    </w:p>
    <w:p w:rsidR="002A77B1" w:rsidRDefault="002103A6">
      <w:pPr>
        <w:pStyle w:val="afe"/>
        <w:spacing w:after="0" w:line="360" w:lineRule="auto"/>
        <w:ind w:left="0" w:firstLine="360"/>
        <w:rPr>
          <w:color w:val="0F243E" w:themeColor="text2" w:themeShade="80"/>
        </w:rPr>
      </w:pPr>
      <w:r>
        <w:rPr>
          <w:color w:val="0F243E" w:themeColor="text2" w:themeShade="80"/>
        </w:rPr>
        <w:lastRenderedPageBreak/>
        <w:t>- отсутствия резервов тепловой мощности в границах застройки на данный момент и в рассматриваемой перспективе;</w:t>
      </w:r>
    </w:p>
    <w:p w:rsidR="002A77B1" w:rsidRDefault="002103A6">
      <w:pPr>
        <w:pStyle w:val="afe"/>
        <w:spacing w:after="0" w:line="360" w:lineRule="auto"/>
        <w:ind w:left="0" w:firstLine="360"/>
        <w:rPr>
          <w:color w:val="0F243E" w:themeColor="text2" w:themeShade="80"/>
        </w:rPr>
      </w:pPr>
      <w:r>
        <w:rPr>
          <w:color w:val="0F243E" w:themeColor="text2" w:themeShade="80"/>
        </w:rPr>
        <w:t>- использования тепловой энергии в технологических целях.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7.12. Обоснование перспективных балансов производства и потребления теп-ловой мощности источников тепловой энергии и теплоносителя и присоединенной тепловой нагрузки в каждой из систем теплоснабжения городского поселения.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A77B1" w:rsidRDefault="002103A6">
      <w:pPr>
        <w:pStyle w:val="Default"/>
        <w:tabs>
          <w:tab w:val="left" w:pos="1350"/>
        </w:tabs>
        <w:spacing w:line="360" w:lineRule="auto"/>
        <w:jc w:val="both"/>
        <w:rPr>
          <w:color w:val="0F243E" w:themeColor="text2" w:themeShade="80"/>
        </w:rPr>
      </w:pPr>
      <w:r>
        <w:rPr>
          <w:color w:val="0F243E" w:themeColor="text2" w:themeShade="80"/>
          <w:lang w:eastAsia="ar-SA"/>
        </w:rPr>
        <w:t>В период до 2027 года, по представленной информации администрации Локомотивного городского округа, строительство новых объектов капитального строительства не планируется.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Перспективные (существующие) объемы  потребления  тепловой энергии и теплоносителя  потребителями тепловой энергии с разделением по видам теплопотребления  представлены в таблице.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2A77B1" w:rsidRDefault="002103A6">
      <w:pPr>
        <w:pStyle w:val="Default"/>
        <w:tabs>
          <w:tab w:val="left" w:pos="1350"/>
        </w:tabs>
        <w:spacing w:line="360" w:lineRule="auto"/>
        <w:jc w:val="both"/>
        <w:rPr>
          <w:b/>
          <w:color w:val="632423" w:themeColor="accent2" w:themeShade="80"/>
        </w:rPr>
      </w:pPr>
      <w:r>
        <w:rPr>
          <w:b/>
          <w:color w:val="632423" w:themeColor="accent2" w:themeShade="80"/>
        </w:rPr>
        <w:t xml:space="preserve">На период 2021 - 2027 год.     </w:t>
      </w:r>
    </w:p>
    <w:tbl>
      <w:tblPr>
        <w:tblStyle w:val="aff7"/>
        <w:tblW w:w="9606" w:type="dxa"/>
        <w:tblLook w:val="04A0"/>
      </w:tblPr>
      <w:tblGrid>
        <w:gridCol w:w="1769"/>
        <w:gridCol w:w="1536"/>
        <w:gridCol w:w="1560"/>
        <w:gridCol w:w="1557"/>
        <w:gridCol w:w="1502"/>
        <w:gridCol w:w="1682"/>
      </w:tblGrid>
      <w:tr w:rsidR="002A77B1">
        <w:trPr>
          <w:trHeight w:val="405"/>
        </w:trPr>
        <w:tc>
          <w:tcPr>
            <w:tcW w:w="1769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0"/>
                <w:szCs w:val="20"/>
              </w:rPr>
              <w:tab/>
            </w:r>
          </w:p>
          <w:p w:rsidR="002A77B1" w:rsidRDefault="002A77B1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2"/>
                <w:szCs w:val="22"/>
              </w:rPr>
            </w:pPr>
          </w:p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Наименование источника теплоснабжения</w:t>
            </w:r>
          </w:p>
        </w:tc>
        <w:tc>
          <w:tcPr>
            <w:tcW w:w="1535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Объем потребляемой тепловой энергии на отопление, Гкал/год</w:t>
            </w:r>
          </w:p>
        </w:tc>
        <w:tc>
          <w:tcPr>
            <w:tcW w:w="1560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Объем потребляемой тепловой энергии на вентиляцию, Гкал/год</w:t>
            </w:r>
          </w:p>
        </w:tc>
        <w:tc>
          <w:tcPr>
            <w:tcW w:w="1557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Объем потребляемой тепловой энергии на ГВС, Гкал/год</w:t>
            </w:r>
          </w:p>
        </w:tc>
        <w:tc>
          <w:tcPr>
            <w:tcW w:w="1502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Объем тепло-носителя (ГВС), тн/год</w:t>
            </w:r>
          </w:p>
        </w:tc>
        <w:tc>
          <w:tcPr>
            <w:tcW w:w="1682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Суммарный объем потребляемой тепловой энергии, Гкал/год</w:t>
            </w:r>
          </w:p>
        </w:tc>
      </w:tr>
      <w:tr w:rsidR="002A77B1">
        <w:trPr>
          <w:trHeight w:val="661"/>
        </w:trPr>
        <w:tc>
          <w:tcPr>
            <w:tcW w:w="1769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spacing w:line="276" w:lineRule="auto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Котельная «Центральная»</w:t>
            </w:r>
          </w:p>
        </w:tc>
        <w:tc>
          <w:tcPr>
            <w:tcW w:w="1535" w:type="dxa"/>
            <w:shd w:val="clear" w:color="auto" w:fill="auto"/>
          </w:tcPr>
          <w:p w:rsidR="002A77B1" w:rsidRDefault="002103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22 214</w:t>
            </w:r>
          </w:p>
        </w:tc>
        <w:tc>
          <w:tcPr>
            <w:tcW w:w="1560" w:type="dxa"/>
            <w:shd w:val="clear" w:color="auto" w:fill="auto"/>
          </w:tcPr>
          <w:p w:rsidR="002A77B1" w:rsidRDefault="002103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  <w:shd w:val="clear" w:color="auto" w:fill="auto"/>
          </w:tcPr>
          <w:p w:rsidR="002A77B1" w:rsidRDefault="002103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4 373</w:t>
            </w:r>
          </w:p>
        </w:tc>
        <w:tc>
          <w:tcPr>
            <w:tcW w:w="1502" w:type="dxa"/>
            <w:shd w:val="clear" w:color="auto" w:fill="auto"/>
          </w:tcPr>
          <w:p w:rsidR="002A77B1" w:rsidRDefault="002103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88,263</w:t>
            </w:r>
          </w:p>
        </w:tc>
        <w:tc>
          <w:tcPr>
            <w:tcW w:w="1682" w:type="dxa"/>
            <w:shd w:val="clear" w:color="auto" w:fill="auto"/>
          </w:tcPr>
          <w:p w:rsidR="002A77B1" w:rsidRDefault="002103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26 587</w:t>
            </w:r>
          </w:p>
        </w:tc>
      </w:tr>
    </w:tbl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 xml:space="preserve">Перспективные (существующие)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потребности в тепловой мощности</w:t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 потребителями тепловой энергии с разделением по видам теплопотребления  представлены в таблице.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0"/>
          <w:szCs w:val="10"/>
          <w:lang w:eastAsia="ru-RU"/>
        </w:rPr>
      </w:pPr>
    </w:p>
    <w:tbl>
      <w:tblPr>
        <w:tblStyle w:val="aff7"/>
        <w:tblW w:w="9570" w:type="dxa"/>
        <w:tblLook w:val="04A0"/>
      </w:tblPr>
      <w:tblGrid>
        <w:gridCol w:w="2941"/>
        <w:gridCol w:w="1986"/>
        <w:gridCol w:w="1557"/>
        <w:gridCol w:w="1559"/>
        <w:gridCol w:w="1527"/>
      </w:tblGrid>
      <w:tr w:rsidR="002A77B1">
        <w:tc>
          <w:tcPr>
            <w:tcW w:w="2941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1986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Тепловая нагрузка на отопление, Гкал/час</w:t>
            </w:r>
          </w:p>
        </w:tc>
        <w:tc>
          <w:tcPr>
            <w:tcW w:w="1557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Тепловая нагрузка на вентиляцию, Гкал/час</w:t>
            </w:r>
          </w:p>
        </w:tc>
        <w:tc>
          <w:tcPr>
            <w:tcW w:w="1559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Тепловая нагрузка на ГВС, Гкал/час</w:t>
            </w:r>
          </w:p>
        </w:tc>
        <w:tc>
          <w:tcPr>
            <w:tcW w:w="1527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Суммарная тепловая нагрузка, Гкал/час</w:t>
            </w:r>
          </w:p>
        </w:tc>
      </w:tr>
      <w:tr w:rsidR="002A77B1">
        <w:tc>
          <w:tcPr>
            <w:tcW w:w="2941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spacing w:line="480" w:lineRule="auto"/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Котельная «Центральная»</w:t>
            </w:r>
          </w:p>
        </w:tc>
        <w:tc>
          <w:tcPr>
            <w:tcW w:w="1986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15,528</w:t>
            </w:r>
          </w:p>
        </w:tc>
        <w:tc>
          <w:tcPr>
            <w:tcW w:w="1557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1,331</w:t>
            </w:r>
          </w:p>
        </w:tc>
        <w:tc>
          <w:tcPr>
            <w:tcW w:w="1527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16,859</w:t>
            </w:r>
          </w:p>
        </w:tc>
      </w:tr>
      <w:tr w:rsidR="002A77B1">
        <w:tc>
          <w:tcPr>
            <w:tcW w:w="2941" w:type="dxa"/>
            <w:shd w:val="clear" w:color="auto" w:fill="auto"/>
          </w:tcPr>
          <w:p w:rsidR="002A77B1" w:rsidRDefault="002103A6">
            <w:pPr>
              <w:tabs>
                <w:tab w:val="left" w:pos="2360"/>
                <w:tab w:val="left" w:pos="6521"/>
              </w:tabs>
              <w:spacing w:after="0" w:line="48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Гостиница «Люкс»</w:t>
            </w:r>
          </w:p>
        </w:tc>
        <w:tc>
          <w:tcPr>
            <w:tcW w:w="1986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0,03</w:t>
            </w:r>
          </w:p>
        </w:tc>
        <w:tc>
          <w:tcPr>
            <w:tcW w:w="1557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0,01</w:t>
            </w:r>
          </w:p>
        </w:tc>
        <w:tc>
          <w:tcPr>
            <w:tcW w:w="1527" w:type="dxa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0,04</w:t>
            </w:r>
          </w:p>
        </w:tc>
      </w:tr>
      <w:tr w:rsidR="002A77B1">
        <w:tc>
          <w:tcPr>
            <w:tcW w:w="2941" w:type="dxa"/>
            <w:shd w:val="clear" w:color="auto" w:fill="auto"/>
          </w:tcPr>
          <w:p w:rsidR="002A77B1" w:rsidRDefault="002103A6">
            <w:pPr>
              <w:tabs>
                <w:tab w:val="left" w:pos="2360"/>
                <w:tab w:val="left" w:pos="6521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Поисково-спасательная служба и таможня</w:t>
            </w:r>
          </w:p>
        </w:tc>
        <w:tc>
          <w:tcPr>
            <w:tcW w:w="1986" w:type="dxa"/>
            <w:shd w:val="clear" w:color="auto" w:fill="auto"/>
          </w:tcPr>
          <w:p w:rsidR="002A77B1" w:rsidRDefault="002A77B1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0"/>
                <w:szCs w:val="20"/>
              </w:rPr>
            </w:pPr>
          </w:p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0,03</w:t>
            </w:r>
          </w:p>
        </w:tc>
        <w:tc>
          <w:tcPr>
            <w:tcW w:w="1557" w:type="dxa"/>
            <w:shd w:val="clear" w:color="auto" w:fill="auto"/>
          </w:tcPr>
          <w:p w:rsidR="002A77B1" w:rsidRDefault="002A77B1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0"/>
                <w:szCs w:val="20"/>
              </w:rPr>
            </w:pPr>
          </w:p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2A77B1" w:rsidRDefault="002A77B1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0"/>
                <w:szCs w:val="20"/>
              </w:rPr>
            </w:pPr>
          </w:p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0,02</w:t>
            </w:r>
          </w:p>
        </w:tc>
        <w:tc>
          <w:tcPr>
            <w:tcW w:w="1527" w:type="dxa"/>
            <w:shd w:val="clear" w:color="auto" w:fill="auto"/>
          </w:tcPr>
          <w:p w:rsidR="002A77B1" w:rsidRDefault="002A77B1">
            <w:pPr>
              <w:pStyle w:val="Default"/>
              <w:tabs>
                <w:tab w:val="left" w:pos="1350"/>
              </w:tabs>
              <w:jc w:val="center"/>
              <w:rPr>
                <w:color w:val="auto"/>
                <w:sz w:val="20"/>
                <w:szCs w:val="20"/>
              </w:rPr>
            </w:pPr>
          </w:p>
          <w:p w:rsidR="002A77B1" w:rsidRDefault="002103A6">
            <w:pPr>
              <w:pStyle w:val="Default"/>
              <w:tabs>
                <w:tab w:val="left" w:pos="1350"/>
              </w:tabs>
              <w:jc w:val="center"/>
              <w:rPr>
                <w:color w:val="auto"/>
              </w:rPr>
            </w:pPr>
            <w:r>
              <w:rPr>
                <w:color w:val="auto"/>
                <w:sz w:val="20"/>
                <w:szCs w:val="20"/>
              </w:rPr>
              <w:t>0,05</w:t>
            </w:r>
          </w:p>
        </w:tc>
      </w:tr>
      <w:tr w:rsidR="002A77B1">
        <w:tc>
          <w:tcPr>
            <w:tcW w:w="2941" w:type="dxa"/>
            <w:shd w:val="clear" w:color="auto" w:fill="auto"/>
          </w:tcPr>
          <w:p w:rsidR="002A77B1" w:rsidRDefault="002103A6">
            <w:pPr>
              <w:tabs>
                <w:tab w:val="left" w:pos="2360"/>
                <w:tab w:val="left" w:pos="6521"/>
              </w:tabs>
              <w:spacing w:after="0" w:line="48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Автомойка</w:t>
            </w:r>
          </w:p>
        </w:tc>
        <w:tc>
          <w:tcPr>
            <w:tcW w:w="6629" w:type="dxa"/>
            <w:gridSpan w:val="4"/>
            <w:shd w:val="clear" w:color="auto" w:fill="auto"/>
          </w:tcPr>
          <w:p w:rsidR="002A77B1" w:rsidRDefault="002103A6">
            <w:pPr>
              <w:pStyle w:val="Default"/>
              <w:tabs>
                <w:tab w:val="left" w:pos="1350"/>
              </w:tabs>
              <w:spacing w:line="480" w:lineRule="auto"/>
              <w:jc w:val="center"/>
              <w:rPr>
                <w:color w:val="auto"/>
                <w:highlight w:val="yellow"/>
              </w:rPr>
            </w:pPr>
            <w:r>
              <w:rPr>
                <w:color w:val="auto"/>
                <w:sz w:val="20"/>
                <w:szCs w:val="20"/>
              </w:rPr>
              <w:t>Информация не представлена</w:t>
            </w:r>
          </w:p>
        </w:tc>
      </w:tr>
    </w:tbl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ab/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ab/>
        <w:t>Перспективные балансы тепловой мощности и тепловой нагрузки в зоне действия источника теплоснабжения №1 представлены в таблице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</w:p>
    <w:tbl>
      <w:tblPr>
        <w:tblStyle w:val="aff7"/>
        <w:tblW w:w="9570" w:type="dxa"/>
        <w:tblLook w:val="04A0"/>
      </w:tblPr>
      <w:tblGrid>
        <w:gridCol w:w="540"/>
        <w:gridCol w:w="5373"/>
        <w:gridCol w:w="1099"/>
        <w:gridCol w:w="1278"/>
        <w:gridCol w:w="1280"/>
      </w:tblGrid>
      <w:tr w:rsidR="002A77B1">
        <w:trPr>
          <w:trHeight w:val="301"/>
        </w:trPr>
        <w:tc>
          <w:tcPr>
            <w:tcW w:w="539" w:type="dxa"/>
            <w:vMerge w:val="restart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№ п/п</w:t>
            </w:r>
          </w:p>
        </w:tc>
        <w:tc>
          <w:tcPr>
            <w:tcW w:w="5375" w:type="dxa"/>
            <w:vMerge w:val="restart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Наименование</w:t>
            </w:r>
          </w:p>
        </w:tc>
        <w:tc>
          <w:tcPr>
            <w:tcW w:w="1098" w:type="dxa"/>
            <w:vMerge w:val="restart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Ед. Изм.</w:t>
            </w:r>
          </w:p>
        </w:tc>
        <w:tc>
          <w:tcPr>
            <w:tcW w:w="2558" w:type="dxa"/>
            <w:gridSpan w:val="2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Значение</w:t>
            </w:r>
          </w:p>
        </w:tc>
      </w:tr>
      <w:tr w:rsidR="002A77B1">
        <w:trPr>
          <w:trHeight w:val="250"/>
        </w:trPr>
        <w:tc>
          <w:tcPr>
            <w:tcW w:w="539" w:type="dxa"/>
            <w:vMerge/>
            <w:shd w:val="clear" w:color="auto" w:fill="auto"/>
          </w:tcPr>
          <w:p w:rsidR="002A77B1" w:rsidRDefault="002A77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375" w:type="dxa"/>
            <w:vMerge/>
            <w:shd w:val="clear" w:color="auto" w:fill="auto"/>
          </w:tcPr>
          <w:p w:rsidR="002A77B1" w:rsidRDefault="002A77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098" w:type="dxa"/>
            <w:vMerge/>
            <w:shd w:val="clear" w:color="auto" w:fill="auto"/>
          </w:tcPr>
          <w:p w:rsidR="002A77B1" w:rsidRDefault="002A77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127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2019 год</w:t>
            </w:r>
          </w:p>
        </w:tc>
        <w:tc>
          <w:tcPr>
            <w:tcW w:w="1280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2020-2027 год</w:t>
            </w:r>
          </w:p>
        </w:tc>
      </w:tr>
      <w:tr w:rsidR="002A77B1">
        <w:trPr>
          <w:trHeight w:val="525"/>
        </w:trPr>
        <w:tc>
          <w:tcPr>
            <w:tcW w:w="539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1.</w:t>
            </w:r>
          </w:p>
        </w:tc>
        <w:tc>
          <w:tcPr>
            <w:tcW w:w="5375" w:type="dxa"/>
            <w:shd w:val="clear" w:color="auto" w:fill="auto"/>
          </w:tcPr>
          <w:p w:rsidR="002A77B1" w:rsidRDefault="002103A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Установленная тепловой мощности  основного  оборудования  котельной «Центральная» </w:t>
            </w:r>
          </w:p>
        </w:tc>
        <w:tc>
          <w:tcPr>
            <w:tcW w:w="109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13,794</w:t>
            </w:r>
          </w:p>
        </w:tc>
        <w:tc>
          <w:tcPr>
            <w:tcW w:w="1280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18,954</w:t>
            </w:r>
          </w:p>
        </w:tc>
      </w:tr>
      <w:tr w:rsidR="002A77B1">
        <w:tc>
          <w:tcPr>
            <w:tcW w:w="539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2.</w:t>
            </w:r>
          </w:p>
        </w:tc>
        <w:tc>
          <w:tcPr>
            <w:tcW w:w="5375" w:type="dxa"/>
            <w:shd w:val="clear" w:color="auto" w:fill="auto"/>
          </w:tcPr>
          <w:p w:rsidR="002A77B1" w:rsidRDefault="002103A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Техническое  ограничение  на использование   установленной   тепловой   мощности основного оборудования  котельной «Центральная» </w:t>
            </w:r>
          </w:p>
        </w:tc>
        <w:tc>
          <w:tcPr>
            <w:tcW w:w="1098" w:type="dxa"/>
            <w:shd w:val="clear" w:color="auto" w:fill="auto"/>
          </w:tcPr>
          <w:p w:rsidR="002A77B1" w:rsidRDefault="002A77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2A77B1" w:rsidRDefault="002A77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13,794</w:t>
            </w:r>
          </w:p>
        </w:tc>
        <w:tc>
          <w:tcPr>
            <w:tcW w:w="1280" w:type="dxa"/>
            <w:shd w:val="clear" w:color="auto" w:fill="auto"/>
          </w:tcPr>
          <w:p w:rsidR="002A77B1" w:rsidRDefault="002A77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18,954</w:t>
            </w:r>
          </w:p>
        </w:tc>
      </w:tr>
      <w:tr w:rsidR="002A77B1">
        <w:tc>
          <w:tcPr>
            <w:tcW w:w="539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3.</w:t>
            </w:r>
          </w:p>
        </w:tc>
        <w:tc>
          <w:tcPr>
            <w:tcW w:w="5375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 xml:space="preserve">Затраты тепловой  мощности  на собственные и хозяйственные нужды  котельной «Центральная» </w:t>
            </w:r>
          </w:p>
        </w:tc>
        <w:tc>
          <w:tcPr>
            <w:tcW w:w="109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0,061</w:t>
            </w:r>
          </w:p>
        </w:tc>
        <w:tc>
          <w:tcPr>
            <w:tcW w:w="1280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0,061</w:t>
            </w:r>
          </w:p>
        </w:tc>
      </w:tr>
      <w:tr w:rsidR="002A77B1">
        <w:trPr>
          <w:trHeight w:val="513"/>
        </w:trPr>
        <w:tc>
          <w:tcPr>
            <w:tcW w:w="539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4.</w:t>
            </w:r>
          </w:p>
        </w:tc>
        <w:tc>
          <w:tcPr>
            <w:tcW w:w="5375" w:type="dxa"/>
            <w:shd w:val="clear" w:color="auto" w:fill="auto"/>
          </w:tcPr>
          <w:p w:rsidR="002A77B1" w:rsidRDefault="002103A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Значения тепловой  мощности котельной «Центральная» (нетто)</w:t>
            </w:r>
          </w:p>
        </w:tc>
        <w:tc>
          <w:tcPr>
            <w:tcW w:w="109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13,733</w:t>
            </w:r>
          </w:p>
        </w:tc>
        <w:tc>
          <w:tcPr>
            <w:tcW w:w="1280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18,89</w:t>
            </w:r>
          </w:p>
        </w:tc>
      </w:tr>
      <w:tr w:rsidR="002A77B1">
        <w:tc>
          <w:tcPr>
            <w:tcW w:w="539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5.</w:t>
            </w:r>
          </w:p>
        </w:tc>
        <w:tc>
          <w:tcPr>
            <w:tcW w:w="5375" w:type="dxa"/>
            <w:shd w:val="clear" w:color="auto" w:fill="auto"/>
          </w:tcPr>
          <w:p w:rsidR="002A77B1" w:rsidRDefault="002103A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Потери тепловой энергии в тепловых сетях от котельной «Центральная»</w:t>
            </w:r>
          </w:p>
        </w:tc>
        <w:tc>
          <w:tcPr>
            <w:tcW w:w="109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1,43</w:t>
            </w:r>
          </w:p>
        </w:tc>
        <w:tc>
          <w:tcPr>
            <w:tcW w:w="1280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1,367</w:t>
            </w:r>
          </w:p>
        </w:tc>
      </w:tr>
      <w:tr w:rsidR="002A77B1">
        <w:tc>
          <w:tcPr>
            <w:tcW w:w="539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6.</w:t>
            </w:r>
          </w:p>
        </w:tc>
        <w:tc>
          <w:tcPr>
            <w:tcW w:w="5375" w:type="dxa"/>
            <w:shd w:val="clear" w:color="auto" w:fill="auto"/>
          </w:tcPr>
          <w:p w:rsidR="002A77B1" w:rsidRDefault="002103A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Затраты теплоносителя на компенсацию потерь теплоносителя от котельной «Центральная»</w:t>
            </w:r>
          </w:p>
        </w:tc>
        <w:tc>
          <w:tcPr>
            <w:tcW w:w="109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тн/час</w:t>
            </w:r>
          </w:p>
        </w:tc>
        <w:tc>
          <w:tcPr>
            <w:tcW w:w="127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1,43</w:t>
            </w:r>
          </w:p>
        </w:tc>
        <w:tc>
          <w:tcPr>
            <w:tcW w:w="1280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1,43</w:t>
            </w:r>
          </w:p>
        </w:tc>
      </w:tr>
      <w:tr w:rsidR="002A77B1">
        <w:tc>
          <w:tcPr>
            <w:tcW w:w="539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7.</w:t>
            </w:r>
          </w:p>
        </w:tc>
        <w:tc>
          <w:tcPr>
            <w:tcW w:w="5375" w:type="dxa"/>
            <w:shd w:val="clear" w:color="auto" w:fill="auto"/>
          </w:tcPr>
          <w:p w:rsidR="002A77B1" w:rsidRDefault="002103A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Затраты тепловой  мощности  на хозяйственные нужды в отношении тепловых сетей от котельной «Центральная»</w:t>
            </w:r>
          </w:p>
        </w:tc>
        <w:tc>
          <w:tcPr>
            <w:tcW w:w="1098" w:type="dxa"/>
            <w:shd w:val="clear" w:color="auto" w:fill="auto"/>
          </w:tcPr>
          <w:p w:rsidR="002A77B1" w:rsidRDefault="002A77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2A77B1" w:rsidRDefault="002A77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нет</w:t>
            </w:r>
          </w:p>
        </w:tc>
        <w:tc>
          <w:tcPr>
            <w:tcW w:w="1280" w:type="dxa"/>
            <w:shd w:val="clear" w:color="auto" w:fill="auto"/>
          </w:tcPr>
          <w:p w:rsidR="002A77B1" w:rsidRDefault="002A77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нет</w:t>
            </w:r>
          </w:p>
        </w:tc>
      </w:tr>
      <w:tr w:rsidR="002A77B1">
        <w:tc>
          <w:tcPr>
            <w:tcW w:w="539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8.</w:t>
            </w:r>
          </w:p>
        </w:tc>
        <w:tc>
          <w:tcPr>
            <w:tcW w:w="5375" w:type="dxa"/>
            <w:shd w:val="clear" w:color="auto" w:fill="auto"/>
          </w:tcPr>
          <w:p w:rsidR="002A77B1" w:rsidRDefault="002103A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Значение резервной  тепловой</w:t>
            </w:r>
          </w:p>
          <w:p w:rsidR="002A77B1" w:rsidRDefault="002103A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мощности  котельной «Центральная»</w:t>
            </w:r>
          </w:p>
        </w:tc>
        <w:tc>
          <w:tcPr>
            <w:tcW w:w="109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- 4,556</w:t>
            </w:r>
          </w:p>
        </w:tc>
        <w:tc>
          <w:tcPr>
            <w:tcW w:w="1280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0,664</w:t>
            </w:r>
          </w:p>
        </w:tc>
      </w:tr>
      <w:tr w:rsidR="002A77B1">
        <w:tc>
          <w:tcPr>
            <w:tcW w:w="539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9.</w:t>
            </w:r>
          </w:p>
        </w:tc>
        <w:tc>
          <w:tcPr>
            <w:tcW w:w="5375" w:type="dxa"/>
            <w:shd w:val="clear" w:color="auto" w:fill="auto"/>
          </w:tcPr>
          <w:p w:rsidR="002A77B1" w:rsidRDefault="002103A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Значения существующей  и  перспективной  тепловой  нагрузки потребителей котельной «Центральная»</w:t>
            </w:r>
          </w:p>
        </w:tc>
        <w:tc>
          <w:tcPr>
            <w:tcW w:w="1098" w:type="dxa"/>
            <w:shd w:val="clear" w:color="auto" w:fill="auto"/>
          </w:tcPr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Гкал/час</w:t>
            </w:r>
          </w:p>
        </w:tc>
        <w:tc>
          <w:tcPr>
            <w:tcW w:w="1278" w:type="dxa"/>
            <w:shd w:val="clear" w:color="auto" w:fill="auto"/>
          </w:tcPr>
          <w:p w:rsidR="002A77B1" w:rsidRDefault="002A77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</w:rPr>
            </w:pPr>
          </w:p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16,859</w:t>
            </w:r>
          </w:p>
        </w:tc>
        <w:tc>
          <w:tcPr>
            <w:tcW w:w="1280" w:type="dxa"/>
            <w:shd w:val="clear" w:color="auto" w:fill="auto"/>
          </w:tcPr>
          <w:p w:rsidR="002A77B1" w:rsidRDefault="002A77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</w:pPr>
          </w:p>
          <w:p w:rsidR="002A77B1" w:rsidRDefault="002103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243E" w:themeColor="text2" w:themeShade="80"/>
                <w:sz w:val="24"/>
                <w:szCs w:val="24"/>
              </w:rPr>
              <w:t>16,859</w:t>
            </w:r>
          </w:p>
        </w:tc>
      </w:tr>
    </w:tbl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7.13. Анализ целесообразности ввода новых и реконструкции существующих   источников тепловой энергии с использованием возобновляемых источников энергии, а также местных видов топлива.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Ввод новых и реконструкции существующих источников тепловой энергии с использованием возобновляемых источников энергии, а также местных видов топлива на территории Локомотивного городского округа не планируется.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16"/>
          <w:szCs w:val="16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7.14. Обоснование организации теплоснабжения в производственных зонах на   территории городского поселения.</w:t>
      </w:r>
    </w:p>
    <w:p w:rsidR="002A77B1" w:rsidRDefault="002A77B1">
      <w:pPr>
        <w:pStyle w:val="Default"/>
        <w:spacing w:line="480" w:lineRule="auto"/>
        <w:ind w:firstLine="709"/>
        <w:jc w:val="both"/>
        <w:rPr>
          <w:color w:val="0F243E"/>
          <w:sz w:val="16"/>
          <w:szCs w:val="16"/>
        </w:rPr>
      </w:pPr>
    </w:p>
    <w:p w:rsidR="002A77B1" w:rsidRDefault="002103A6">
      <w:pPr>
        <w:pStyle w:val="Default"/>
        <w:spacing w:line="360" w:lineRule="auto"/>
        <w:ind w:firstLine="709"/>
        <w:jc w:val="both"/>
        <w:rPr>
          <w:color w:val="0F243E"/>
        </w:rPr>
      </w:pPr>
      <w:r>
        <w:rPr>
          <w:color w:val="0F243E" w:themeColor="text2" w:themeShade="80"/>
        </w:rPr>
        <w:t>Теплоснабжение в производственной зоне, зоне теплоснабжения №2,</w:t>
      </w:r>
      <w:r>
        <w:rPr>
          <w:color w:val="0F243E"/>
        </w:rPr>
        <w:t xml:space="preserve">осуществляется от  3-х собственных источников тепловой энергии. 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Cs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iCs/>
          <w:color w:val="0F243E" w:themeColor="text2" w:themeShade="80"/>
          <w:sz w:val="24"/>
          <w:szCs w:val="24"/>
        </w:rPr>
        <w:lastRenderedPageBreak/>
        <w:tab/>
        <w:t xml:space="preserve">-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гостиница «Люкс»</w:t>
      </w:r>
      <w:r>
        <w:rPr>
          <w:rFonts w:ascii="Times New Roman" w:hAnsi="Times New Roman" w:cs="Times New Roman"/>
          <w:iCs/>
          <w:color w:val="0F243E" w:themeColor="text2" w:themeShade="80"/>
          <w:sz w:val="24"/>
          <w:szCs w:val="24"/>
        </w:rPr>
        <w:t>;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- Поисково-спасательная служба и таможня;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Cs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- автомойка.</w:t>
      </w:r>
    </w:p>
    <w:p w:rsidR="002A77B1" w:rsidRDefault="002103A6">
      <w:pPr>
        <w:pStyle w:val="af9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2"/>
        <w:rPr>
          <w:rFonts w:ascii="Times New Roman" w:hAnsi="Times New Roman" w:cs="Times New Roman"/>
          <w:iCs/>
          <w:color w:val="0F243E" w:themeColor="text2" w:themeShade="80"/>
          <w:sz w:val="24"/>
          <w:szCs w:val="24"/>
        </w:rPr>
      </w:pPr>
      <w:r>
        <w:rPr>
          <w:noProof/>
          <w:lang w:eastAsia="ru-RU"/>
        </w:rPr>
        <w:drawing>
          <wp:inline distT="0" distB="8890" distL="0" distR="8255">
            <wp:extent cx="5954395" cy="5230495"/>
            <wp:effectExtent l="0" t="0" r="0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856" t="4179" r="14780" b="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B1" w:rsidRDefault="002103A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Теплоэнергетические комплексызоны теплоснабжения №2вырабатываюттепловую энергию,в виде горячей воды толькодля </w:t>
      </w:r>
      <w:r>
        <w:rPr>
          <w:rFonts w:ascii="Times New Roman" w:hAnsi="Times New Roman" w:cs="Times New Roman"/>
          <w:color w:val="0F243E"/>
          <w:sz w:val="24"/>
          <w:szCs w:val="24"/>
        </w:rPr>
        <w:t>собственных производственных нужд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iCs/>
          <w:color w:val="0F243E" w:themeColor="text2" w:themeShade="8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В перспективе на период до 2027 года, не планируется строительство индивидуальных источников теплоснабжения</w:t>
      </w:r>
      <w:r>
        <w:rPr>
          <w:rFonts w:ascii="Times New Roman" w:hAnsi="Times New Roman" w:cs="Times New Roman"/>
          <w:iCs/>
          <w:color w:val="0F243E" w:themeColor="text2" w:themeShade="80"/>
          <w:sz w:val="24"/>
          <w:szCs w:val="24"/>
        </w:rPr>
        <w:t>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7.15. Результаты расчетов радиуса эффективного теплоснабжения.</w:t>
      </w:r>
    </w:p>
    <w:p w:rsidR="002A77B1" w:rsidRDefault="002A77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A77B1" w:rsidRDefault="002A77B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C00000"/>
          <w:sz w:val="6"/>
          <w:szCs w:val="6"/>
        </w:rPr>
      </w:pPr>
    </w:p>
    <w:p w:rsidR="002A77B1" w:rsidRDefault="002103A6">
      <w:pPr>
        <w:spacing w:after="0" w:line="360" w:lineRule="auto"/>
        <w:ind w:firstLine="708"/>
        <w:jc w:val="both"/>
        <w:rPr>
          <w:rFonts w:ascii="New York" w:hAnsi="New York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Радиусэффективноготеплоснабжения</w:t>
      </w:r>
      <w:r>
        <w:rPr>
          <w:rFonts w:ascii="New York" w:hAnsi="New York" w:cs="New York"/>
          <w:color w:val="0F243E" w:themeColor="text2" w:themeShade="80"/>
          <w:sz w:val="24"/>
          <w:szCs w:val="24"/>
        </w:rPr>
        <w:t>–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максимальноерасстояниеоттеплопотреб-ляющейустановкидоближайшегоисточникатепловойэнергиивсистеметеплоснабжения</w:t>
      </w:r>
      <w:r>
        <w:rPr>
          <w:rFonts w:ascii="New York" w:hAnsi="New York"/>
          <w:color w:val="0F243E" w:themeColor="text2" w:themeShade="8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припревышениикоторогоподключениетеплопотребляющейустановкикданнойсистеметеплосн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lastRenderedPageBreak/>
        <w:t>абжениянецелесообразнопопричинеувеличениясовокупныхрасходоввсистеметеплоснабжения</w:t>
      </w:r>
      <w:r>
        <w:rPr>
          <w:rFonts w:ascii="New York" w:hAnsi="New York"/>
          <w:color w:val="0F243E" w:themeColor="text2" w:themeShade="80"/>
          <w:sz w:val="24"/>
          <w:szCs w:val="24"/>
        </w:rPr>
        <w:t xml:space="preserve">. </w:t>
      </w:r>
    </w:p>
    <w:p w:rsidR="002A77B1" w:rsidRDefault="002103A6">
      <w:pPr>
        <w:spacing w:after="0" w:line="360" w:lineRule="auto"/>
        <w:ind w:firstLine="708"/>
        <w:jc w:val="both"/>
        <w:rPr>
          <w:rFonts w:ascii="New York" w:hAnsi="New York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Внастоящеевремя</w:t>
      </w:r>
      <w:r>
        <w:rPr>
          <w:rFonts w:ascii="New York" w:hAnsi="New York"/>
          <w:color w:val="0F243E" w:themeColor="text2" w:themeShade="8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методикаопределениярадиусаэффективноготеплоснабжениянеутвержденафедеральнымиорганамиисполнительнойвластивсферетеплоснабжения</w:t>
      </w:r>
      <w:r>
        <w:rPr>
          <w:rFonts w:ascii="New York" w:hAnsi="New York"/>
          <w:color w:val="0F243E" w:themeColor="text2" w:themeShade="80"/>
          <w:sz w:val="24"/>
          <w:szCs w:val="24"/>
        </w:rPr>
        <w:t xml:space="preserve">. </w:t>
      </w:r>
    </w:p>
    <w:p w:rsidR="002A77B1" w:rsidRDefault="002103A6">
      <w:pPr>
        <w:spacing w:after="0" w:line="360" w:lineRule="auto"/>
        <w:ind w:firstLine="360"/>
        <w:jc w:val="both"/>
        <w:rPr>
          <w:rFonts w:ascii="New York" w:hAnsi="New York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Основнымикритериямиоценкицелесообразностиподключенияновыхпотребителейвзонедействиясистемыцентрализованноготеплоснабженияявляются</w:t>
      </w:r>
      <w:r>
        <w:rPr>
          <w:rFonts w:ascii="New York" w:hAnsi="New York"/>
          <w:color w:val="0F243E" w:themeColor="text2" w:themeShade="80"/>
          <w:sz w:val="24"/>
          <w:szCs w:val="24"/>
        </w:rPr>
        <w:t xml:space="preserve">: </w:t>
      </w:r>
    </w:p>
    <w:p w:rsidR="002A77B1" w:rsidRDefault="002103A6">
      <w:pPr>
        <w:pStyle w:val="afe"/>
        <w:spacing w:after="0" w:line="360" w:lineRule="auto"/>
        <w:ind w:left="284" w:firstLine="76"/>
        <w:rPr>
          <w:rFonts w:ascii="New York" w:hAnsi="New York"/>
          <w:color w:val="0F243E" w:themeColor="text2" w:themeShade="80"/>
          <w:szCs w:val="24"/>
        </w:rPr>
      </w:pPr>
      <w:r>
        <w:rPr>
          <w:rFonts w:cs="Times New Roman"/>
          <w:color w:val="0F243E" w:themeColor="text2" w:themeShade="80"/>
          <w:szCs w:val="24"/>
        </w:rPr>
        <w:t>- затратынастроительствоновыхучастковтепловойсетииреконструкциюсуществующих</w:t>
      </w:r>
      <w:r>
        <w:rPr>
          <w:rFonts w:ascii="New York" w:hAnsi="New York"/>
          <w:color w:val="0F243E" w:themeColor="text2" w:themeShade="80"/>
          <w:szCs w:val="24"/>
        </w:rPr>
        <w:t xml:space="preserve">; </w:t>
      </w:r>
    </w:p>
    <w:p w:rsidR="002A77B1" w:rsidRDefault="002103A6">
      <w:pPr>
        <w:pStyle w:val="afe"/>
        <w:spacing w:after="0" w:line="360" w:lineRule="auto"/>
        <w:rPr>
          <w:rFonts w:ascii="New York" w:hAnsi="New York"/>
          <w:color w:val="0F243E" w:themeColor="text2" w:themeShade="80"/>
          <w:szCs w:val="24"/>
        </w:rPr>
      </w:pPr>
      <w:r>
        <w:rPr>
          <w:rFonts w:cs="Times New Roman"/>
          <w:color w:val="0F243E" w:themeColor="text2" w:themeShade="80"/>
          <w:szCs w:val="24"/>
        </w:rPr>
        <w:t>- пропускнаяспособностьсуществующихмагистральныхтепловыхсетей</w:t>
      </w:r>
      <w:r>
        <w:rPr>
          <w:rFonts w:ascii="New York" w:hAnsi="New York"/>
          <w:color w:val="0F243E" w:themeColor="text2" w:themeShade="80"/>
          <w:szCs w:val="24"/>
        </w:rPr>
        <w:t xml:space="preserve">; </w:t>
      </w:r>
    </w:p>
    <w:p w:rsidR="002A77B1" w:rsidRDefault="002103A6">
      <w:pPr>
        <w:pStyle w:val="afe"/>
        <w:spacing w:after="0" w:line="360" w:lineRule="auto"/>
        <w:rPr>
          <w:rFonts w:ascii="New York" w:hAnsi="New York"/>
          <w:color w:val="0F243E" w:themeColor="text2" w:themeShade="80"/>
          <w:szCs w:val="24"/>
        </w:rPr>
      </w:pPr>
      <w:r>
        <w:rPr>
          <w:rFonts w:cs="Times New Roman"/>
          <w:color w:val="0F243E" w:themeColor="text2" w:themeShade="80"/>
          <w:szCs w:val="24"/>
        </w:rPr>
        <w:t>- затратынаперекачкутеплоносителявтепловыхсетях</w:t>
      </w:r>
      <w:r>
        <w:rPr>
          <w:rFonts w:ascii="New York" w:hAnsi="New York"/>
          <w:color w:val="0F243E" w:themeColor="text2" w:themeShade="80"/>
          <w:szCs w:val="24"/>
        </w:rPr>
        <w:t xml:space="preserve">; </w:t>
      </w:r>
    </w:p>
    <w:p w:rsidR="002A77B1" w:rsidRDefault="002103A6">
      <w:pPr>
        <w:pStyle w:val="afe"/>
        <w:spacing w:after="0" w:line="360" w:lineRule="auto"/>
        <w:rPr>
          <w:rFonts w:ascii="New York" w:hAnsi="New York"/>
          <w:color w:val="0F243E" w:themeColor="text2" w:themeShade="80"/>
          <w:szCs w:val="24"/>
        </w:rPr>
      </w:pPr>
      <w:r>
        <w:rPr>
          <w:rFonts w:cs="Times New Roman"/>
          <w:color w:val="0F243E" w:themeColor="text2" w:themeShade="80"/>
          <w:szCs w:val="24"/>
        </w:rPr>
        <w:t>- потеритепловойэнергиивтепловыхсетяхприеепередаче</w:t>
      </w:r>
      <w:r>
        <w:rPr>
          <w:rFonts w:ascii="New York" w:hAnsi="New York"/>
          <w:color w:val="0F243E" w:themeColor="text2" w:themeShade="80"/>
          <w:szCs w:val="24"/>
        </w:rPr>
        <w:t xml:space="preserve">; </w:t>
      </w:r>
    </w:p>
    <w:p w:rsidR="002A77B1" w:rsidRDefault="002103A6">
      <w:pPr>
        <w:pStyle w:val="afe"/>
        <w:spacing w:after="0" w:line="360" w:lineRule="auto"/>
        <w:rPr>
          <w:rFonts w:ascii="New York" w:hAnsi="New York"/>
          <w:color w:val="0F243E" w:themeColor="text2" w:themeShade="80"/>
          <w:szCs w:val="24"/>
        </w:rPr>
      </w:pPr>
      <w:r>
        <w:rPr>
          <w:rFonts w:cs="Times New Roman"/>
          <w:color w:val="0F243E" w:themeColor="text2" w:themeShade="80"/>
          <w:szCs w:val="24"/>
        </w:rPr>
        <w:t>- надежностьсистемытеплоснабжения</w:t>
      </w:r>
      <w:r>
        <w:rPr>
          <w:rFonts w:ascii="New York" w:hAnsi="New York"/>
          <w:color w:val="0F243E" w:themeColor="text2" w:themeShade="80"/>
          <w:szCs w:val="24"/>
        </w:rPr>
        <w:t xml:space="preserve">. </w:t>
      </w:r>
    </w:p>
    <w:p w:rsidR="002A77B1" w:rsidRDefault="002103A6">
      <w:pPr>
        <w:widowControl w:val="0"/>
        <w:tabs>
          <w:tab w:val="left" w:pos="0"/>
        </w:tabs>
        <w:spacing w:before="120" w:after="120" w:line="360" w:lineRule="auto"/>
        <w:ind w:firstLine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Основными критериями оценки целесообразности подключения новых потребителей в зоне действия системы централизованного теплоснабжения являются:</w:t>
      </w:r>
    </w:p>
    <w:p w:rsidR="002A77B1" w:rsidRDefault="002103A6">
      <w:pPr>
        <w:widowControl w:val="0"/>
        <w:numPr>
          <w:ilvl w:val="0"/>
          <w:numId w:val="1"/>
        </w:numPr>
        <w:tabs>
          <w:tab w:val="left" w:pos="993"/>
        </w:tabs>
        <w:spacing w:before="120" w:after="120" w:line="360" w:lineRule="auto"/>
        <w:ind w:left="0" w:firstLine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затраты на строительство новых участков тепловой сети и реконструкция существующих;</w:t>
      </w:r>
    </w:p>
    <w:p w:rsidR="002A77B1" w:rsidRDefault="002103A6">
      <w:pPr>
        <w:widowControl w:val="0"/>
        <w:numPr>
          <w:ilvl w:val="0"/>
          <w:numId w:val="1"/>
        </w:numPr>
        <w:tabs>
          <w:tab w:val="left" w:pos="993"/>
        </w:tabs>
        <w:spacing w:before="120" w:after="120" w:line="360" w:lineRule="auto"/>
        <w:ind w:left="0" w:firstLine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пропускная способность существующих магистральных тепловых сетей;</w:t>
      </w:r>
    </w:p>
    <w:p w:rsidR="002A77B1" w:rsidRDefault="002103A6">
      <w:pPr>
        <w:widowControl w:val="0"/>
        <w:numPr>
          <w:ilvl w:val="0"/>
          <w:numId w:val="1"/>
        </w:numPr>
        <w:tabs>
          <w:tab w:val="left" w:pos="993"/>
        </w:tabs>
        <w:spacing w:before="120" w:after="120" w:line="360" w:lineRule="auto"/>
        <w:ind w:left="0" w:firstLine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затраты на перекачку теплоносителя в тепловых сетях;</w:t>
      </w:r>
    </w:p>
    <w:p w:rsidR="002A77B1" w:rsidRDefault="002103A6">
      <w:pPr>
        <w:widowControl w:val="0"/>
        <w:numPr>
          <w:ilvl w:val="0"/>
          <w:numId w:val="1"/>
        </w:numPr>
        <w:tabs>
          <w:tab w:val="left" w:pos="993"/>
        </w:tabs>
        <w:spacing w:before="120" w:after="120" w:line="360" w:lineRule="auto"/>
        <w:ind w:left="0" w:firstLine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потери тепловой энергии в тепловых сетях при ее передаче;</w:t>
      </w:r>
    </w:p>
    <w:p w:rsidR="002A77B1" w:rsidRDefault="002103A6">
      <w:pPr>
        <w:widowControl w:val="0"/>
        <w:numPr>
          <w:ilvl w:val="0"/>
          <w:numId w:val="1"/>
        </w:numPr>
        <w:tabs>
          <w:tab w:val="left" w:pos="993"/>
        </w:tabs>
        <w:spacing w:before="120" w:after="120" w:line="360" w:lineRule="auto"/>
        <w:ind w:left="0" w:firstLine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надежность системы теплоснабжения.</w:t>
      </w:r>
    </w:p>
    <w:p w:rsidR="002A77B1" w:rsidRDefault="002103A6">
      <w:pPr>
        <w:widowControl w:val="0"/>
        <w:tabs>
          <w:tab w:val="left" w:pos="0"/>
        </w:tabs>
        <w:spacing w:before="120" w:after="120" w:line="360" w:lineRule="auto"/>
        <w:ind w:firstLine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Комплексная оценка вышеперечисленных факторов, определяет величину эффективного радиуса теплоснабжения.</w:t>
      </w:r>
    </w:p>
    <w:p w:rsidR="002A77B1" w:rsidRDefault="002103A6">
      <w:pPr>
        <w:widowControl w:val="0"/>
        <w:tabs>
          <w:tab w:val="left" w:pos="0"/>
        </w:tabs>
        <w:spacing w:before="120" w:after="120" w:line="360" w:lineRule="auto"/>
        <w:ind w:firstLine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Потребителей, теплоснабжение которых осуществляется от «Центральной» котельной, следует охарактеризовать как потребителей, приближенных к источнику тепловой энергии. Максимальное расстояние от источника до наиболее удаленного потребителя порядка 3 км.</w:t>
      </w:r>
    </w:p>
    <w:p w:rsidR="002A77B1" w:rsidRDefault="002103A6">
      <w:pPr>
        <w:widowControl w:val="0"/>
        <w:tabs>
          <w:tab w:val="left" w:pos="0"/>
        </w:tabs>
        <w:spacing w:before="120" w:after="120" w:line="360" w:lineRule="auto"/>
        <w:ind w:firstLine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Для расчета радиусов теплоснабжения использованы характеристики объектов теплоснабжения, а также информация о технико-экономических показателях теплоснабжающих и теплосетевых организаций.</w:t>
      </w:r>
    </w:p>
    <w:p w:rsidR="002A77B1" w:rsidRDefault="002103A6">
      <w:pPr>
        <w:widowControl w:val="0"/>
        <w:tabs>
          <w:tab w:val="left" w:pos="0"/>
        </w:tabs>
        <w:spacing w:before="120" w:after="120" w:line="360" w:lineRule="auto"/>
        <w:ind w:firstLine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В качестве центра построения радиуса эффективного теплоснабжения, необходимо рассмотрены источники централизованного теплоснабжения потребителей. Расчету не подлежат следующие категории источников тепловой энергии:</w:t>
      </w:r>
    </w:p>
    <w:p w:rsidR="002A77B1" w:rsidRDefault="002103A6">
      <w:pPr>
        <w:widowControl w:val="0"/>
        <w:spacing w:before="120" w:after="120" w:line="360" w:lineRule="auto"/>
        <w:ind w:left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- котельные, осуществляющие теплоснабжение 1 потребителя;</w:t>
      </w:r>
    </w:p>
    <w:p w:rsidR="002A77B1" w:rsidRDefault="002103A6">
      <w:pPr>
        <w:widowControl w:val="0"/>
        <w:spacing w:before="120" w:after="120" w:line="360" w:lineRule="auto"/>
        <w:ind w:left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lastRenderedPageBreak/>
        <w:t>- котельные, вырабатывающие тепловую энергию исключительно для собственного потребления;</w:t>
      </w:r>
    </w:p>
    <w:p w:rsidR="002A77B1" w:rsidRDefault="002103A6">
      <w:pPr>
        <w:widowControl w:val="0"/>
        <w:spacing w:before="120" w:after="120" w:line="360" w:lineRule="auto"/>
        <w:ind w:left="567"/>
        <w:contextualSpacing/>
        <w:jc w:val="both"/>
        <w:textAlignment w:val="baseline"/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</w:pPr>
      <w:r>
        <w:rPr>
          <w:rFonts w:ascii="Times New Roman" w:eastAsia="Microsoft YaHei" w:hAnsi="Times New Roman" w:cs="Times New Roman"/>
          <w:color w:val="0F243E" w:themeColor="text2" w:themeShade="80"/>
          <w:spacing w:val="-5"/>
          <w:sz w:val="24"/>
          <w:szCs w:val="24"/>
        </w:rPr>
        <w:t>- ведомственные котельные, не имеющие наружных тепловых сетей.</w:t>
      </w:r>
    </w:p>
    <w:p w:rsidR="002A77B1" w:rsidRDefault="002103A6">
      <w:pPr>
        <w:widowControl w:val="0"/>
        <w:tabs>
          <w:tab w:val="left" w:pos="0"/>
        </w:tabs>
        <w:spacing w:before="120" w:after="120" w:line="360" w:lineRule="auto"/>
        <w:ind w:firstLine="567"/>
        <w:jc w:val="both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Радиус эффективного теплоснабжения представляет собой расстояние, при котором увеличение доходов равно по величине возрастанию затрат. За  основу расчета были положено соотношение, представленное в «Нормах по проектированию тепловых сетей», адаптированное к современным условиям в соответствие с изменившейся структурой себестоимости производства и транспорта тепловой энергии.</w:t>
      </w:r>
    </w:p>
    <w:p w:rsidR="002A77B1" w:rsidRDefault="002103A6">
      <w:pPr>
        <w:widowControl w:val="0"/>
        <w:tabs>
          <w:tab w:val="left" w:pos="0"/>
        </w:tabs>
        <w:spacing w:before="120" w:after="120" w:line="360" w:lineRule="auto"/>
        <w:ind w:firstLine="567"/>
        <w:jc w:val="both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зависимости:</w:t>
      </w:r>
    </w:p>
    <w:p w:rsidR="002A77B1" w:rsidRDefault="002103A6">
      <w:pPr>
        <w:widowControl w:val="0"/>
        <w:tabs>
          <w:tab w:val="left" w:pos="0"/>
        </w:tabs>
        <w:spacing w:line="360" w:lineRule="auto"/>
        <w:ind w:firstLine="567"/>
        <w:jc w:val="center"/>
        <w:rPr>
          <w:rFonts w:ascii="Times New Roman" w:eastAsia="Arial" w:hAnsi="Times New Roman" w:cs="Times New Roman"/>
          <w:b/>
          <w:bCs/>
          <w:color w:val="FFFFFF"/>
          <w:sz w:val="24"/>
          <w:szCs w:val="24"/>
        </w:rPr>
      </w:pPr>
      <m:oMath>
        <m:r>
          <w:rPr>
            <w:rFonts w:ascii="Cambria Math" w:hAnsi="Cambria Math"/>
          </w:rPr>
          <m:t>S=b+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30</m:t>
            </m:r>
            <m:r>
              <w:rPr>
                <w:rFonts w:ascii="Cambria Math" w:hAnsi="Cambria Math"/>
              </w:rPr>
              <m:t>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8</m:t>
                </m:r>
              </m:sup>
            </m:sSup>
            <m:r>
              <w:rPr>
                <w:rFonts w:ascii="Cambria Math" w:hAnsi="Cambria Math"/>
              </w:rPr>
              <m:t>ϕ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П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lit/>
                <m:nor/>
              </m:rPr>
              <w:rPr>
                <w:rFonts w:ascii="Cambria Math" w:hAnsi="Cambria Math"/>
              </w:rPr>
              <m:t>95</m:t>
            </m:r>
            <m:r>
              <w:rPr>
                <w:rFonts w:ascii="Cambria Math" w:hAnsi="Cambria Math"/>
              </w:rPr>
              <m:t>×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0,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86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0,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26</m:t>
                </m:r>
              </m:sup>
            </m:sSup>
            <m:r>
              <w:rPr>
                <w:rFonts w:ascii="Cambria Math" w:hAnsi="Cambria Math"/>
              </w:rPr>
              <m:t>s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П</m:t>
                </m:r>
              </m:e>
              <m:sup>
                <m:r>
                  <w:rPr>
                    <w:rFonts w:ascii="Cambria Math" w:hAnsi="Cambria Math"/>
                  </w:rPr>
                  <m:t>0,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62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0,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19</m:t>
                </m:r>
              </m:sup>
            </m:sSup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Δτ</m:t>
                </m:r>
              </m:e>
              <m:sup>
                <m:r>
                  <w:rPr>
                    <w:rFonts w:ascii="Cambria Math" w:hAnsi="Cambria Math"/>
                  </w:rPr>
                  <m:t>0,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38</m:t>
                </m:r>
              </m:sup>
            </m:sSup>
          </m:den>
        </m:f>
        <m:r>
          <w:rPr>
            <w:rFonts w:ascii="Cambria Math" w:hAnsi="Cambria Math"/>
          </w:rPr>
          <m:t>,</m:t>
        </m:r>
      </m:oMath>
      <w:r>
        <w:rPr>
          <w:rFonts w:ascii="Times New Roman" w:eastAsia="Arial" w:hAnsi="Times New Roman" w:cs="Times New Roman"/>
          <w:b/>
          <w:bCs/>
          <w:color w:val="FFFFFF"/>
          <w:sz w:val="24"/>
          <w:szCs w:val="24"/>
        </w:rPr>
        <w:t>,,……</w:t>
      </w:r>
    </w:p>
    <w:p w:rsidR="002A77B1" w:rsidRDefault="002103A6">
      <w:pPr>
        <w:widowControl w:val="0"/>
        <w:tabs>
          <w:tab w:val="left" w:pos="0"/>
        </w:tabs>
        <w:spacing w:before="120" w:after="12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где</w:t>
      </w:r>
    </w:p>
    <w:p w:rsidR="002A77B1" w:rsidRDefault="002103A6">
      <w:pPr>
        <w:widowControl w:val="0"/>
        <w:tabs>
          <w:tab w:val="left" w:pos="0"/>
        </w:tabs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R - 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радиус действия тепловой сети (длина главной тепловой магистрали самого протяженного вывода от источника), км;</w:t>
      </w:r>
    </w:p>
    <w:p w:rsidR="002A77B1" w:rsidRDefault="002103A6">
      <w:pPr>
        <w:widowControl w:val="0"/>
        <w:tabs>
          <w:tab w:val="left" w:pos="0"/>
        </w:tabs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H - 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потеря напора на трение при транспорте теплоносителя по тепловой магистрали, м.вод.ст.;</w:t>
      </w:r>
    </w:p>
    <w:p w:rsidR="002A77B1" w:rsidRDefault="002103A6">
      <w:pPr>
        <w:widowControl w:val="0"/>
        <w:tabs>
          <w:tab w:val="left" w:pos="0"/>
        </w:tabs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b - 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эмпирический коэффициент удельных затрат в единицу тепловой мощности котельной, руб./Гкал/ч;</w:t>
      </w:r>
    </w:p>
    <w:p w:rsidR="002A77B1" w:rsidRDefault="002103A6">
      <w:pPr>
        <w:widowControl w:val="0"/>
        <w:tabs>
          <w:tab w:val="left" w:pos="0"/>
        </w:tabs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s - 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удельная стоимость материальной характеристики тепловой сети, руб./м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  <w:vertAlign w:val="superscript"/>
        </w:rPr>
        <w:t>2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;</w:t>
      </w:r>
    </w:p>
    <w:p w:rsidR="002A77B1" w:rsidRDefault="002103A6">
      <w:pPr>
        <w:widowControl w:val="0"/>
        <w:tabs>
          <w:tab w:val="left" w:pos="0"/>
        </w:tabs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B - 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среднее число абонентов на единицу площади зоны действия источника теплоснабжения, 1/км²;</w:t>
      </w:r>
    </w:p>
    <w:p w:rsidR="002A77B1" w:rsidRDefault="002103A6">
      <w:pPr>
        <w:widowControl w:val="0"/>
        <w:tabs>
          <w:tab w:val="left" w:pos="0"/>
        </w:tabs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П - 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теплоплотность района, Гкал/ч</w:t>
      </w:r>
      <w:r>
        <w:rPr>
          <w:rFonts w:ascii="Symbol" w:eastAsia="Symbol" w:hAnsi="Symbol" w:cs="Symbol"/>
          <w:color w:val="0F243E" w:themeColor="text2" w:themeShade="80"/>
          <w:sz w:val="24"/>
          <w:szCs w:val="24"/>
          <w:shd w:val="clear" w:color="auto" w:fill="FFFFFF"/>
        </w:rPr>
        <w:t>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км²;</w:t>
      </w:r>
    </w:p>
    <w:p w:rsidR="002A77B1" w:rsidRDefault="002103A6">
      <w:pPr>
        <w:widowControl w:val="0"/>
        <w:tabs>
          <w:tab w:val="left" w:pos="0"/>
        </w:tabs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Δτ - 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расчетный перепад температур теплоносителя в тепловой сети, °С;</w:t>
      </w:r>
    </w:p>
    <w:p w:rsidR="002A77B1" w:rsidRDefault="002103A6">
      <w:pPr>
        <w:widowControl w:val="0"/>
        <w:tabs>
          <w:tab w:val="left" w:pos="0"/>
        </w:tabs>
        <w:spacing w:after="0" w:line="360" w:lineRule="auto"/>
        <w:ind w:firstLine="567"/>
        <w:jc w:val="both"/>
        <w:textAlignment w:val="baseline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shd w:val="clear" w:color="auto" w:fill="FFFFFF"/>
        </w:rPr>
        <w:t xml:space="preserve">φ 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- поправочный коэффициент, принимаемый равным 1,3 для ТЭЦ;  1-  для котельных.</w:t>
      </w:r>
    </w:p>
    <w:p w:rsidR="002A77B1" w:rsidRDefault="002103A6">
      <w:pPr>
        <w:widowControl w:val="0"/>
        <w:tabs>
          <w:tab w:val="left" w:pos="0"/>
        </w:tabs>
        <w:spacing w:before="120" w:after="120" w:line="360" w:lineRule="auto"/>
        <w:ind w:firstLine="567"/>
        <w:jc w:val="both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>Дифференцируя полученное соотношение по параметру R,  и приравнивая к нулю производную, можно получить формулу для определения эффективного радиуса теплоснабжения в виде:</w:t>
      </w:r>
    </w:p>
    <w:p w:rsidR="002A77B1" w:rsidRDefault="00A2163C">
      <w:pPr>
        <w:widowControl w:val="0"/>
        <w:tabs>
          <w:tab w:val="left" w:pos="0"/>
        </w:tabs>
        <w:spacing w:before="120" w:after="120" w:line="360" w:lineRule="auto"/>
        <w:ind w:firstLine="567"/>
        <w:jc w:val="center"/>
        <w:textAlignment w:val="baseline"/>
        <w:rPr>
          <w:rFonts w:ascii="Times New Roman" w:eastAsia="Microsoft YaHei" w:hAnsi="Times New Roman" w:cs="Times New Roman"/>
          <w:spacing w:val="-5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э</m:t>
            </m:r>
          </m:sub>
        </m:sSub>
        <m:r>
          <w:rPr>
            <w:rFonts w:ascii="Cambria Math" w:hAnsi="Cambria Math"/>
          </w:rPr>
          <m:t>=</m:t>
        </m:r>
        <m:r>
          <m:rPr>
            <m:lit/>
            <m:nor/>
          </m:rPr>
          <w:rPr>
            <w:rFonts w:ascii="Cambria Math" w:hAnsi="Cambria Math"/>
          </w:rPr>
          <m:t>563</m:t>
        </m:r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ϕ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s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0,</m:t>
            </m:r>
            <m:r>
              <m:rPr>
                <m:lit/>
                <m:nor/>
              </m:rPr>
              <w:rPr>
                <w:rFonts w:ascii="Cambria Math" w:hAnsi="Cambria Math"/>
              </w:rPr>
              <m:t>35</m:t>
            </m:r>
          </m:sup>
        </m:sSup>
        <m:r>
          <w:rPr>
            <w:rFonts w:ascii="Cambria Math" w:hAnsi="Cambria Math"/>
          </w:rPr>
          <m:t>⋅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0,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07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0,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09</m:t>
                </m:r>
              </m:sup>
            </m:sSup>
          </m:den>
        </m:f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Δτ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П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0,</m:t>
            </m:r>
            <m:r>
              <m:rPr>
                <m:lit/>
                <m:nor/>
              </m:rPr>
              <w:rPr>
                <w:rFonts w:ascii="Cambria Math" w:hAnsi="Cambria Math"/>
              </w:rPr>
              <m:t>13</m:t>
            </m:r>
          </m:sup>
        </m:sSup>
      </m:oMath>
      <w:r w:rsidR="002103A6">
        <w:rPr>
          <w:rFonts w:ascii="Times New Roman" w:eastAsia="Microsoft YaHei" w:hAnsi="Times New Roman" w:cs="Times New Roman"/>
          <w:spacing w:val="-5"/>
          <w:sz w:val="24"/>
          <w:szCs w:val="24"/>
        </w:rPr>
        <w:t>.</w:t>
      </w:r>
    </w:p>
    <w:p w:rsidR="002A77B1" w:rsidRDefault="002103A6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 xml:space="preserve">Результаты расчета эффективного радиуса теплоснабжения для основных источников теплоснабжения </w:t>
      </w:r>
      <w:r>
        <w:rPr>
          <w:rFonts w:ascii="Times New Roman" w:eastAsia="Arial" w:hAnsi="Times New Roman" w:cs="Times New Roman"/>
          <w:color w:val="0F243E" w:themeColor="text2" w:themeShade="80"/>
          <w:sz w:val="24"/>
          <w:szCs w:val="24"/>
        </w:rPr>
        <w:t>Локомотивного городского округа</w:t>
      </w: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t xml:space="preserve"> приведены ниже в таблице </w:t>
      </w:r>
    </w:p>
    <w:p w:rsidR="002A77B1" w:rsidRDefault="002103A6">
      <w:pPr>
        <w:widowControl w:val="0"/>
        <w:tabs>
          <w:tab w:val="left" w:pos="0"/>
        </w:tabs>
        <w:spacing w:line="360" w:lineRule="auto"/>
        <w:ind w:firstLine="567"/>
        <w:jc w:val="both"/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highlight w:val="white"/>
        </w:rPr>
      </w:pPr>
      <w:r>
        <w:rPr>
          <w:rFonts w:ascii="Times New Roman" w:eastAsia="Arial Unicode MS" w:hAnsi="Times New Roman" w:cs="Times New Roman"/>
          <w:color w:val="0F243E" w:themeColor="text2" w:themeShade="80"/>
          <w:sz w:val="24"/>
          <w:szCs w:val="24"/>
          <w:shd w:val="clear" w:color="auto" w:fill="FFFFFF"/>
        </w:rPr>
        <w:lastRenderedPageBreak/>
        <w:t>Необходимо подчеркнуть, рассмотренный общий подход уместен для получения только самых укрупнённых и приближенных оценок, в основном – для условий нового строительства не только потребителей, но и самих источников теплоснабжения. Для принятия конкретных решений по подключению удалённых потребителей к уже имеющимся источникам целесообразно выполнять конкретные технико-экономические расчёты.</w:t>
      </w:r>
    </w:p>
    <w:tbl>
      <w:tblPr>
        <w:tblW w:w="9746" w:type="dxa"/>
        <w:tblInd w:w="109" w:type="dxa"/>
        <w:tblLook w:val="04A0"/>
      </w:tblPr>
      <w:tblGrid>
        <w:gridCol w:w="459"/>
        <w:gridCol w:w="1447"/>
        <w:gridCol w:w="1129"/>
        <w:gridCol w:w="1488"/>
        <w:gridCol w:w="1396"/>
        <w:gridCol w:w="1004"/>
        <w:gridCol w:w="1359"/>
        <w:gridCol w:w="969"/>
        <w:gridCol w:w="1317"/>
        <w:gridCol w:w="1202"/>
      </w:tblGrid>
      <w:tr w:rsidR="002A77B1">
        <w:trPr>
          <w:trHeight w:val="1782"/>
          <w:tblHeader/>
        </w:trPr>
        <w:tc>
          <w:tcPr>
            <w:tcW w:w="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№ п/п</w:t>
            </w:r>
          </w:p>
        </w:tc>
        <w:tc>
          <w:tcPr>
            <w:tcW w:w="11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Источник тепловой энергии</w:t>
            </w:r>
          </w:p>
        </w:tc>
        <w:tc>
          <w:tcPr>
            <w:tcW w:w="9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Количество абонен-тов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Площадь теплоснабжения</w:t>
            </w:r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Подключенная нагрузка потребителей</w:t>
            </w:r>
          </w:p>
        </w:tc>
        <w:tc>
          <w:tcPr>
            <w:tcW w:w="8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Среднее число абонентов на 1 км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Расчетный перепад темпера-тур теплоносителя в тепловой сети</w:t>
            </w:r>
          </w:p>
        </w:tc>
        <w:tc>
          <w:tcPr>
            <w:tcW w:w="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Тепло-плот-ность района</w:t>
            </w: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Радиус оптимального тепло-снабжения</w:t>
            </w: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Предельный радиус  действия тепловой сети</w:t>
            </w:r>
          </w:p>
        </w:tc>
      </w:tr>
      <w:tr w:rsidR="002A77B1">
        <w:trPr>
          <w:trHeight w:val="84"/>
        </w:trPr>
        <w:tc>
          <w:tcPr>
            <w:tcW w:w="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 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 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 </w:t>
            </w:r>
          </w:p>
        </w:tc>
        <w:tc>
          <w:tcPr>
            <w:tcW w:w="12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 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Q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vertAlign w:val="subscript"/>
              </w:rPr>
              <w:t>подкл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B</w:t>
            </w:r>
          </w:p>
        </w:tc>
        <w:tc>
          <w:tcPr>
            <w:tcW w:w="11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Δτ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П</w:t>
            </w:r>
          </w:p>
        </w:tc>
        <w:tc>
          <w:tcPr>
            <w:tcW w:w="10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vertAlign w:val="subscript"/>
              </w:rPr>
              <w:t>опт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vertAlign w:val="subscript"/>
              </w:rPr>
              <w:t>пред</w:t>
            </w:r>
          </w:p>
        </w:tc>
      </w:tr>
      <w:tr w:rsidR="002A77B1">
        <w:trPr>
          <w:trHeight w:val="291"/>
        </w:trPr>
        <w:tc>
          <w:tcPr>
            <w:tcW w:w="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 </w:t>
            </w:r>
          </w:p>
        </w:tc>
        <w:tc>
          <w:tcPr>
            <w:tcW w:w="11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 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шт.</w:t>
            </w:r>
          </w:p>
        </w:tc>
        <w:tc>
          <w:tcPr>
            <w:tcW w:w="12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км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Гкал/ч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шт./км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°С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6"/>
                <w:szCs w:val="16"/>
              </w:rPr>
              <w:t>Гкал/ч·км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0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км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spacing w:after="0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18"/>
                <w:szCs w:val="18"/>
              </w:rPr>
              <w:t>км</w:t>
            </w:r>
          </w:p>
        </w:tc>
      </w:tr>
      <w:tr w:rsidR="002A77B1">
        <w:trPr>
          <w:trHeight w:val="20"/>
        </w:trPr>
        <w:tc>
          <w:tcPr>
            <w:tcW w:w="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</w:t>
            </w:r>
          </w:p>
        </w:tc>
        <w:tc>
          <w:tcPr>
            <w:tcW w:w="1188" w:type="dxa"/>
            <w:tcBorders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A77B1" w:rsidRDefault="002103A6">
            <w:pPr>
              <w:widowControl w:val="0"/>
              <w:textAlignment w:val="baseline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Котельная «Центральная»</w:t>
            </w:r>
          </w:p>
        </w:tc>
        <w:tc>
          <w:tcPr>
            <w:tcW w:w="9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66</w:t>
            </w:r>
          </w:p>
        </w:tc>
        <w:tc>
          <w:tcPr>
            <w:tcW w:w="121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10,34</w:t>
            </w:r>
          </w:p>
        </w:tc>
        <w:tc>
          <w:tcPr>
            <w:tcW w:w="1146" w:type="dxa"/>
            <w:tcBorders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16,86</w:t>
            </w: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817,2</w:t>
            </w:r>
          </w:p>
        </w:tc>
        <w:tc>
          <w:tcPr>
            <w:tcW w:w="111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25</w:t>
            </w:r>
          </w:p>
        </w:tc>
        <w:tc>
          <w:tcPr>
            <w:tcW w:w="81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19,6</w:t>
            </w:r>
          </w:p>
        </w:tc>
        <w:tc>
          <w:tcPr>
            <w:tcW w:w="10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3,8</w:t>
            </w:r>
          </w:p>
        </w:tc>
        <w:tc>
          <w:tcPr>
            <w:tcW w:w="9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77B1" w:rsidRDefault="002103A6">
            <w:pPr>
              <w:widowControl w:val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4,6</w:t>
            </w:r>
          </w:p>
        </w:tc>
      </w:tr>
    </w:tbl>
    <w:p w:rsidR="002A77B1" w:rsidRDefault="002103A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:rsidR="002A77B1" w:rsidRDefault="002103A6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Подключение (технологическое присоединение) к централизованному теплоснабжению потребителей не попадающих в зону №1 является нецелесообразным и не эффективным.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ab/>
        <w:t>Радиусэффективноготеплоснабжения по источникам тепловой энергии представ-лен на рисунке</w:t>
      </w:r>
    </w:p>
    <w:p w:rsidR="002A77B1" w:rsidRDefault="002103A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8255">
            <wp:extent cx="5954395" cy="4007485"/>
            <wp:effectExtent l="0" t="0" r="0" b="0"/>
            <wp:docPr id="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56" t="4185" r="14780" b="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B1" w:rsidRDefault="002103A6">
      <w:pPr>
        <w:spacing w:after="0" w:line="360" w:lineRule="auto"/>
        <w:ind w:firstLine="708"/>
        <w:jc w:val="both"/>
        <w:rPr>
          <w:rFonts w:ascii="New York" w:hAnsi="New York"/>
          <w:color w:val="0F243E"/>
          <w:sz w:val="24"/>
          <w:szCs w:val="24"/>
        </w:rPr>
      </w:pPr>
      <w:r>
        <w:rPr>
          <w:color w:val="0F243E" w:themeColor="text2" w:themeShade="80"/>
          <w:sz w:val="24"/>
          <w:szCs w:val="24"/>
        </w:rPr>
        <w:t>1</w:t>
      </w:r>
      <w:r>
        <w:rPr>
          <w:b/>
          <w:color w:val="C00000"/>
          <w:sz w:val="24"/>
          <w:szCs w:val="24"/>
        </w:rPr>
        <w:t>.</w:t>
      </w:r>
      <w:r>
        <w:rPr>
          <w:rFonts w:ascii="Times New Roman" w:hAnsi="Times New Roman" w:cs="Times New Roman"/>
          <w:color w:val="0F243E"/>
          <w:sz w:val="24"/>
          <w:szCs w:val="24"/>
        </w:rPr>
        <w:t>Котельная</w:t>
      </w:r>
      <w:r>
        <w:rPr>
          <w:rFonts w:ascii="New York" w:hAnsi="New York"/>
          <w:color w:val="0F243E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0F243E"/>
          <w:sz w:val="24"/>
          <w:szCs w:val="24"/>
        </w:rPr>
        <w:t>Центральная</w:t>
      </w:r>
      <w:r>
        <w:rPr>
          <w:rFonts w:ascii="New York" w:hAnsi="New York" w:cs="New York"/>
          <w:color w:val="0F243E"/>
          <w:sz w:val="24"/>
          <w:szCs w:val="24"/>
        </w:rPr>
        <w:t>»</w:t>
      </w:r>
      <w:r>
        <w:rPr>
          <w:rFonts w:ascii="Times New Roman" w:hAnsi="Times New Roman" w:cs="Times New Roman"/>
          <w:color w:val="0F243E"/>
          <w:sz w:val="24"/>
          <w:szCs w:val="24"/>
        </w:rPr>
        <w:t>степловымисетямиисетямиГВС</w:t>
      </w:r>
      <w:r>
        <w:rPr>
          <w:rFonts w:ascii="New York" w:hAnsi="New York"/>
          <w:color w:val="0F243E"/>
          <w:sz w:val="24"/>
          <w:szCs w:val="24"/>
        </w:rPr>
        <w:t>.</w:t>
      </w:r>
    </w:p>
    <w:p w:rsidR="002A77B1" w:rsidRDefault="002103A6">
      <w:pPr>
        <w:pStyle w:val="Default"/>
        <w:spacing w:line="360" w:lineRule="auto"/>
        <w:ind w:firstLine="709"/>
        <w:jc w:val="both"/>
      </w:pPr>
      <w:r>
        <w:rPr>
          <w:color w:val="0F243E" w:themeColor="text2" w:themeShade="80"/>
        </w:rPr>
        <w:t xml:space="preserve">2. </w:t>
      </w:r>
      <w:r>
        <w:rPr>
          <w:color w:val="0F243E"/>
        </w:rPr>
        <w:t>Собственные источники тепловой энергии:</w:t>
      </w:r>
      <w:r>
        <w:rPr>
          <w:color w:val="0F243E" w:themeColor="text2" w:themeShade="80"/>
        </w:rPr>
        <w:t>гостиница «Люкс»</w:t>
      </w:r>
      <w:r>
        <w:rPr>
          <w:iCs/>
          <w:color w:val="0F243E" w:themeColor="text2" w:themeShade="80"/>
        </w:rPr>
        <w:t>;</w:t>
      </w:r>
      <w:r>
        <w:rPr>
          <w:color w:val="0F243E" w:themeColor="text2" w:themeShade="80"/>
        </w:rPr>
        <w:t xml:space="preserve"> поисково-спасательная служба и таможня; автомойка.</w:t>
      </w:r>
    </w:p>
    <w:sectPr w:rsidR="002A77B1" w:rsidSect="002A77B1">
      <w:headerReference w:type="default" r:id="rId11"/>
      <w:footerReference w:type="default" r:id="rId12"/>
      <w:pgSz w:w="11906" w:h="16838"/>
      <w:pgMar w:top="851" w:right="851" w:bottom="851" w:left="1418" w:header="709" w:footer="567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64F" w:rsidRDefault="00CE264F" w:rsidP="002A77B1">
      <w:pPr>
        <w:spacing w:after="0" w:line="240" w:lineRule="auto"/>
      </w:pPr>
      <w:r>
        <w:separator/>
      </w:r>
    </w:p>
  </w:endnote>
  <w:endnote w:type="continuationSeparator" w:id="1">
    <w:p w:rsidR="00CE264F" w:rsidRDefault="00CE264F" w:rsidP="002A7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TimesNewRomanPS-BoldMT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 York">
    <w:panose1 w:val="020205020603050602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8200514"/>
      <w:docPartObj>
        <w:docPartGallery w:val="Page Numbers (Bottom of Page)"/>
        <w:docPartUnique/>
      </w:docPartObj>
    </w:sdtPr>
    <w:sdtContent>
      <w:p w:rsidR="002A77B1" w:rsidRDefault="00A2163C">
        <w:pPr>
          <w:pStyle w:val="Footer"/>
          <w:jc w:val="right"/>
        </w:pPr>
        <w:r>
          <w:fldChar w:fldCharType="begin"/>
        </w:r>
        <w:r w:rsidR="002103A6">
          <w:instrText>PAGE</w:instrText>
        </w:r>
        <w:r>
          <w:fldChar w:fldCharType="separate"/>
        </w:r>
        <w:r w:rsidR="00130139">
          <w:rPr>
            <w:noProof/>
          </w:rPr>
          <w:t>13</w:t>
        </w:r>
        <w:r>
          <w:fldChar w:fldCharType="end"/>
        </w:r>
      </w:p>
    </w:sdtContent>
  </w:sdt>
  <w:p w:rsidR="002A77B1" w:rsidRDefault="002A77B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64F" w:rsidRDefault="00CE264F" w:rsidP="002A77B1">
      <w:pPr>
        <w:spacing w:after="0" w:line="240" w:lineRule="auto"/>
      </w:pPr>
      <w:r>
        <w:separator/>
      </w:r>
    </w:p>
  </w:footnote>
  <w:footnote w:type="continuationSeparator" w:id="1">
    <w:p w:rsidR="00CE264F" w:rsidRDefault="00CE264F" w:rsidP="002A7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alias w:val="Название"/>
      <w:id w:val="302076957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A77B1" w:rsidRDefault="00F95CBC">
        <w:pPr>
          <w:pStyle w:val="Header"/>
          <w:pBdr>
            <w:bottom w:val="thickThinSmallGap" w:sz="24" w:space="1" w:color="622423"/>
          </w:pBdr>
          <w:jc w:val="center"/>
        </w:pPr>
        <w:r>
          <w:t>Глава 7. Обосновывающие материалы к Схема теплоснабжения ЗАТО Локомотивный городской округ  Челябинской области на период до 2027 года</w:t>
        </w:r>
      </w:p>
    </w:sdtContent>
  </w:sdt>
  <w:p w:rsidR="002A77B1" w:rsidRDefault="002A77B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B021C"/>
    <w:multiLevelType w:val="multilevel"/>
    <w:tmpl w:val="F58A337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>
    <w:nsid w:val="676F5CFF"/>
    <w:multiLevelType w:val="multilevel"/>
    <w:tmpl w:val="E484445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77B1"/>
    <w:rsid w:val="00130139"/>
    <w:rsid w:val="002103A6"/>
    <w:rsid w:val="002A77B1"/>
    <w:rsid w:val="00A2163C"/>
    <w:rsid w:val="00CE264F"/>
    <w:rsid w:val="00F95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B2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"/>
    <w:qFormat/>
    <w:rsid w:val="006112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">
    <w:name w:val="Heading 2"/>
    <w:basedOn w:val="a"/>
    <w:next w:val="a"/>
    <w:link w:val="2"/>
    <w:uiPriority w:val="9"/>
    <w:semiHidden/>
    <w:unhideWhenUsed/>
    <w:qFormat/>
    <w:rsid w:val="00E812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next w:val="a"/>
    <w:link w:val="3"/>
    <w:uiPriority w:val="9"/>
    <w:unhideWhenUsed/>
    <w:qFormat/>
    <w:rsid w:val="00E812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basedOn w:val="a"/>
    <w:next w:val="a"/>
    <w:link w:val="4"/>
    <w:unhideWhenUsed/>
    <w:qFormat/>
    <w:rsid w:val="00895D5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">
    <w:name w:val="Heading 5"/>
    <w:basedOn w:val="a"/>
    <w:next w:val="a"/>
    <w:link w:val="5"/>
    <w:uiPriority w:val="9"/>
    <w:unhideWhenUsed/>
    <w:qFormat/>
    <w:rsid w:val="008F2E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">
    <w:name w:val="Заголовок 1 Знак"/>
    <w:basedOn w:val="a0"/>
    <w:link w:val="a3"/>
    <w:uiPriority w:val="9"/>
    <w:qFormat/>
    <w:rsid w:val="006112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Заголовок 2 Знак"/>
    <w:basedOn w:val="a0"/>
    <w:link w:val="Heading2"/>
    <w:uiPriority w:val="9"/>
    <w:semiHidden/>
    <w:qFormat/>
    <w:rsid w:val="00E812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">
    <w:name w:val="Заголовок 3 Знак"/>
    <w:basedOn w:val="a0"/>
    <w:link w:val="Heading3"/>
    <w:uiPriority w:val="9"/>
    <w:qFormat/>
    <w:rsid w:val="00E812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a0"/>
    <w:link w:val="Heading4"/>
    <w:qFormat/>
    <w:rsid w:val="00895D5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">
    <w:name w:val="Заголовок 5 Знак"/>
    <w:basedOn w:val="a0"/>
    <w:link w:val="Heading5"/>
    <w:uiPriority w:val="9"/>
    <w:qFormat/>
    <w:rsid w:val="008F2E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4">
    <w:name w:val="Абзац списка Знак"/>
    <w:basedOn w:val="a0"/>
    <w:uiPriority w:val="34"/>
    <w:qFormat/>
    <w:rsid w:val="00C063ED"/>
  </w:style>
  <w:style w:type="character" w:customStyle="1" w:styleId="a5">
    <w:name w:val="Текст выноски Знак"/>
    <w:basedOn w:val="a0"/>
    <w:uiPriority w:val="99"/>
    <w:qFormat/>
    <w:rsid w:val="00CC6D89"/>
    <w:rPr>
      <w:rFonts w:ascii="Tahoma" w:hAnsi="Tahoma" w:cs="Tahoma"/>
      <w:sz w:val="16"/>
      <w:szCs w:val="16"/>
    </w:rPr>
  </w:style>
  <w:style w:type="character" w:customStyle="1" w:styleId="S">
    <w:name w:val="S_Обычный Знак"/>
    <w:basedOn w:val="a0"/>
    <w:link w:val="S"/>
    <w:qFormat/>
    <w:rsid w:val="004B55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qFormat/>
    <w:rsid w:val="008F2E8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№2_"/>
    <w:basedOn w:val="a0"/>
    <w:link w:val="21"/>
    <w:qFormat/>
    <w:locked/>
    <w:rsid w:val="008F2E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3">
    <w:name w:val="Основной текст_"/>
    <w:basedOn w:val="a0"/>
    <w:link w:val="1"/>
    <w:qFormat/>
    <w:locked/>
    <w:rsid w:val="008F2E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7">
    <w:name w:val="Подпись к таблице_"/>
    <w:basedOn w:val="a0"/>
    <w:qFormat/>
    <w:locked/>
    <w:rsid w:val="008F2E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8">
    <w:name w:val="Другое_"/>
    <w:basedOn w:val="a0"/>
    <w:qFormat/>
    <w:locked/>
    <w:rsid w:val="008F2E8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ConsPlusNormal">
    <w:name w:val="ConsPlusNormal Знак"/>
    <w:link w:val="ConsPlusNormal"/>
    <w:qFormat/>
    <w:rsid w:val="00895D59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9">
    <w:name w:val="Маркер Знак"/>
    <w:basedOn w:val="a0"/>
    <w:qFormat/>
    <w:rsid w:val="00C063ED"/>
    <w:rPr>
      <w:rFonts w:ascii="Times New Roman" w:hAnsi="Times New Roman"/>
      <w:sz w:val="24"/>
    </w:rPr>
  </w:style>
  <w:style w:type="character" w:styleId="aa">
    <w:name w:val="Strong"/>
    <w:uiPriority w:val="22"/>
    <w:qFormat/>
    <w:rsid w:val="00E812B1"/>
    <w:rPr>
      <w:b/>
      <w:bCs/>
    </w:rPr>
  </w:style>
  <w:style w:type="character" w:customStyle="1" w:styleId="apple-converted-space">
    <w:name w:val="apple-converted-space"/>
    <w:basedOn w:val="a0"/>
    <w:qFormat/>
    <w:rsid w:val="00E812B1"/>
  </w:style>
  <w:style w:type="character" w:customStyle="1" w:styleId="fontstyle01">
    <w:name w:val="fontstyle01"/>
    <w:basedOn w:val="a0"/>
    <w:qFormat/>
    <w:rsid w:val="00E812B1"/>
    <w:rPr>
      <w:rFonts w:ascii="TimesNewRomanPSMT" w:hAnsi="TimesNewRomanPSM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qFormat/>
    <w:rsid w:val="00E812B1"/>
    <w:rPr>
      <w:rFonts w:ascii="TimesNewRomanPS-BoldMT" w:hAnsi="TimesNewRomanPS-BoldMT"/>
      <w:b/>
      <w:bCs/>
      <w:i w:val="0"/>
      <w:iCs w:val="0"/>
      <w:color w:val="000000"/>
      <w:sz w:val="20"/>
      <w:szCs w:val="20"/>
    </w:rPr>
  </w:style>
  <w:style w:type="character" w:customStyle="1" w:styleId="21">
    <w:name w:val="Колонтитул (2)_"/>
    <w:basedOn w:val="a0"/>
    <w:link w:val="22"/>
    <w:qFormat/>
    <w:rsid w:val="00E812B1"/>
    <w:rPr>
      <w:rFonts w:ascii="Times New Roman" w:eastAsia="Times New Roman" w:hAnsi="Times New Roman" w:cs="Times New Roman"/>
      <w:sz w:val="20"/>
      <w:szCs w:val="20"/>
      <w:shd w:val="clear" w:color="auto" w:fill="FFFFFF"/>
      <w:lang w:val="en-US" w:bidi="en-US"/>
    </w:rPr>
  </w:style>
  <w:style w:type="character" w:customStyle="1" w:styleId="10">
    <w:name w:val="Заголовок №1_"/>
    <w:basedOn w:val="a0"/>
    <w:link w:val="11"/>
    <w:qFormat/>
    <w:rsid w:val="00E812B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b">
    <w:name w:val="Нижний колонтитул Знак"/>
    <w:basedOn w:val="a0"/>
    <w:uiPriority w:val="99"/>
    <w:qFormat/>
    <w:rsid w:val="00E812B1"/>
  </w:style>
  <w:style w:type="character" w:customStyle="1" w:styleId="ac">
    <w:name w:val="Верхний колонтитул Знак"/>
    <w:basedOn w:val="a0"/>
    <w:uiPriority w:val="99"/>
    <w:qFormat/>
    <w:rsid w:val="00E812B1"/>
  </w:style>
  <w:style w:type="character" w:customStyle="1" w:styleId="-">
    <w:name w:val="Интернет-ссылка"/>
    <w:basedOn w:val="a0"/>
    <w:uiPriority w:val="99"/>
    <w:unhideWhenUsed/>
    <w:rsid w:val="00E812B1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qFormat/>
    <w:rsid w:val="00E812B1"/>
    <w:rPr>
      <w:b/>
      <w:bCs/>
      <w:color w:val="26282F"/>
    </w:rPr>
  </w:style>
  <w:style w:type="character" w:customStyle="1" w:styleId="ae">
    <w:name w:val="Таблица Знак"/>
    <w:basedOn w:val="a0"/>
    <w:qFormat/>
    <w:rsid w:val="00E812B1"/>
    <w:rPr>
      <w:rFonts w:ascii="Times New Roman" w:hAnsi="Times New Roman"/>
      <w:sz w:val="20"/>
    </w:rPr>
  </w:style>
  <w:style w:type="character" w:customStyle="1" w:styleId="FontStyle274">
    <w:name w:val="Font Style274"/>
    <w:basedOn w:val="a0"/>
    <w:uiPriority w:val="99"/>
    <w:qFormat/>
    <w:rsid w:val="00E812B1"/>
    <w:rPr>
      <w:rFonts w:ascii="Times New Roman" w:hAnsi="Times New Roman" w:cs="Times New Roman"/>
      <w:sz w:val="20"/>
      <w:szCs w:val="20"/>
    </w:rPr>
  </w:style>
  <w:style w:type="character" w:customStyle="1" w:styleId="af">
    <w:name w:val="Основной текст с отступом Знак"/>
    <w:basedOn w:val="a0"/>
    <w:uiPriority w:val="99"/>
    <w:semiHidden/>
    <w:qFormat/>
    <w:rsid w:val="00E812B1"/>
  </w:style>
  <w:style w:type="character" w:customStyle="1" w:styleId="9pt5">
    <w:name w:val="Основной текст + 9 pt5"/>
    <w:uiPriority w:val="99"/>
    <w:qFormat/>
    <w:rsid w:val="00E812B1"/>
    <w:rPr>
      <w:rFonts w:ascii="Times New Roman" w:hAnsi="Times New Roman" w:cs="Times New Roman"/>
      <w:b/>
      <w:bCs/>
      <w:sz w:val="18"/>
      <w:szCs w:val="18"/>
      <w:u w:val="none"/>
    </w:rPr>
  </w:style>
  <w:style w:type="character" w:customStyle="1" w:styleId="af0">
    <w:name w:val="+Таб Знак"/>
    <w:basedOn w:val="a0"/>
    <w:qFormat/>
    <w:rsid w:val="00E812B1"/>
    <w:rPr>
      <w:rFonts w:ascii="Times New Roman" w:eastAsia="Calibri" w:hAnsi="Times New Roman" w:cs="Times New Roman"/>
      <w:sz w:val="20"/>
      <w:szCs w:val="20"/>
    </w:rPr>
  </w:style>
  <w:style w:type="character" w:customStyle="1" w:styleId="FontStyle272">
    <w:name w:val="Font Style272"/>
    <w:basedOn w:val="a0"/>
    <w:uiPriority w:val="99"/>
    <w:qFormat/>
    <w:rsid w:val="00E812B1"/>
    <w:rPr>
      <w:rFonts w:ascii="Times New Roman" w:hAnsi="Times New Roman" w:cs="Times New Roman"/>
      <w:sz w:val="20"/>
      <w:szCs w:val="20"/>
    </w:rPr>
  </w:style>
  <w:style w:type="character" w:styleId="af1">
    <w:name w:val="Emphasis"/>
    <w:basedOn w:val="a0"/>
    <w:uiPriority w:val="20"/>
    <w:qFormat/>
    <w:rsid w:val="00172DFC"/>
    <w:rPr>
      <w:i/>
      <w:iCs/>
    </w:rPr>
  </w:style>
  <w:style w:type="character" w:customStyle="1" w:styleId="af2">
    <w:name w:val="НАБОРНЫЙ СОИНВЕСТ Знак"/>
    <w:basedOn w:val="a0"/>
    <w:qFormat/>
    <w:rsid w:val="000926E0"/>
    <w:rPr>
      <w:rFonts w:ascii="Arial" w:eastAsiaTheme="minorEastAsia" w:hAnsi="Arial" w:cs="Arial"/>
      <w:lang w:eastAsia="ru-RU"/>
    </w:rPr>
  </w:style>
  <w:style w:type="character" w:customStyle="1" w:styleId="af3">
    <w:name w:val="Маркированные списки Знак"/>
    <w:basedOn w:val="a0"/>
    <w:qFormat/>
    <w:rsid w:val="000926E0"/>
    <w:rPr>
      <w:rFonts w:ascii="Arial" w:eastAsiaTheme="minorEastAsia" w:hAnsi="Arial" w:cs="Arial"/>
      <w:color w:val="262626" w:themeColor="text1" w:themeTint="D9"/>
      <w:lang w:eastAsia="ru-RU"/>
    </w:rPr>
  </w:style>
  <w:style w:type="character" w:customStyle="1" w:styleId="af4">
    <w:name w:val="Без интервала Знак"/>
    <w:basedOn w:val="a0"/>
    <w:uiPriority w:val="1"/>
    <w:qFormat/>
    <w:rsid w:val="00D10C9C"/>
  </w:style>
  <w:style w:type="character" w:customStyle="1" w:styleId="ListLabel1">
    <w:name w:val="ListLabel 1"/>
    <w:qFormat/>
    <w:rsid w:val="002A77B1"/>
    <w:rPr>
      <w:color w:val="auto"/>
    </w:rPr>
  </w:style>
  <w:style w:type="character" w:customStyle="1" w:styleId="ListLabel2">
    <w:name w:val="ListLabel 2"/>
    <w:qFormat/>
    <w:rsid w:val="002A77B1"/>
    <w:rPr>
      <w:color w:val="auto"/>
    </w:rPr>
  </w:style>
  <w:style w:type="character" w:customStyle="1" w:styleId="ListLabel3">
    <w:name w:val="ListLabel 3"/>
    <w:qFormat/>
    <w:rsid w:val="002A77B1"/>
    <w:rPr>
      <w:color w:val="auto"/>
    </w:rPr>
  </w:style>
  <w:style w:type="character" w:customStyle="1" w:styleId="ListLabel4">
    <w:name w:val="ListLabel 4"/>
    <w:qFormat/>
    <w:rsid w:val="002A77B1"/>
    <w:rPr>
      <w:color w:val="auto"/>
    </w:rPr>
  </w:style>
  <w:style w:type="character" w:customStyle="1" w:styleId="ListLabel5">
    <w:name w:val="ListLabel 5"/>
    <w:qFormat/>
    <w:rsid w:val="002A77B1"/>
    <w:rPr>
      <w:color w:val="auto"/>
    </w:rPr>
  </w:style>
  <w:style w:type="character" w:customStyle="1" w:styleId="ListLabel6">
    <w:name w:val="ListLabel 6"/>
    <w:qFormat/>
    <w:rsid w:val="002A77B1"/>
    <w:rPr>
      <w:color w:val="auto"/>
    </w:rPr>
  </w:style>
  <w:style w:type="character" w:customStyle="1" w:styleId="ListLabel7">
    <w:name w:val="ListLabel 7"/>
    <w:qFormat/>
    <w:rsid w:val="002A77B1"/>
    <w:rPr>
      <w:color w:val="auto"/>
    </w:rPr>
  </w:style>
  <w:style w:type="character" w:customStyle="1" w:styleId="ListLabel8">
    <w:name w:val="ListLabel 8"/>
    <w:qFormat/>
    <w:rsid w:val="002A77B1"/>
    <w:rPr>
      <w:color w:val="auto"/>
    </w:rPr>
  </w:style>
  <w:style w:type="character" w:customStyle="1" w:styleId="ListLabel9">
    <w:name w:val="ListLabel 9"/>
    <w:qFormat/>
    <w:rsid w:val="002A77B1"/>
    <w:rPr>
      <w:color w:val="auto"/>
    </w:rPr>
  </w:style>
  <w:style w:type="character" w:customStyle="1" w:styleId="ListLabel10">
    <w:name w:val="ListLabel 10"/>
    <w:qFormat/>
    <w:rsid w:val="002A77B1"/>
    <w:rPr>
      <w:rFonts w:cs="Times New Roman"/>
    </w:rPr>
  </w:style>
  <w:style w:type="character" w:customStyle="1" w:styleId="ListLabel11">
    <w:name w:val="ListLabel 11"/>
    <w:qFormat/>
    <w:rsid w:val="002A77B1"/>
    <w:rPr>
      <w:rFonts w:cs="Times New Roman"/>
    </w:rPr>
  </w:style>
  <w:style w:type="character" w:customStyle="1" w:styleId="ListLabel12">
    <w:name w:val="ListLabel 12"/>
    <w:qFormat/>
    <w:rsid w:val="002A77B1"/>
    <w:rPr>
      <w:rFonts w:cs="Times New Roman"/>
    </w:rPr>
  </w:style>
  <w:style w:type="character" w:customStyle="1" w:styleId="ListLabel13">
    <w:name w:val="ListLabel 13"/>
    <w:qFormat/>
    <w:rsid w:val="002A77B1"/>
    <w:rPr>
      <w:rFonts w:cs="Times New Roman"/>
    </w:rPr>
  </w:style>
  <w:style w:type="character" w:customStyle="1" w:styleId="ListLabel14">
    <w:name w:val="ListLabel 14"/>
    <w:qFormat/>
    <w:rsid w:val="002A77B1"/>
    <w:rPr>
      <w:rFonts w:cs="Times New Roman"/>
    </w:rPr>
  </w:style>
  <w:style w:type="character" w:customStyle="1" w:styleId="ListLabel15">
    <w:name w:val="ListLabel 15"/>
    <w:qFormat/>
    <w:rsid w:val="002A77B1"/>
    <w:rPr>
      <w:rFonts w:cs="Times New Roman"/>
    </w:rPr>
  </w:style>
  <w:style w:type="character" w:customStyle="1" w:styleId="ListLabel16">
    <w:name w:val="ListLabel 16"/>
    <w:qFormat/>
    <w:rsid w:val="002A77B1"/>
    <w:rPr>
      <w:rFonts w:cs="Times New Roman"/>
    </w:rPr>
  </w:style>
  <w:style w:type="character" w:customStyle="1" w:styleId="ListLabel17">
    <w:name w:val="ListLabel 17"/>
    <w:qFormat/>
    <w:rsid w:val="002A77B1"/>
    <w:rPr>
      <w:rFonts w:cs="Times New Roman"/>
    </w:rPr>
  </w:style>
  <w:style w:type="character" w:customStyle="1" w:styleId="ListLabel18">
    <w:name w:val="ListLabel 18"/>
    <w:qFormat/>
    <w:rsid w:val="002A77B1"/>
    <w:rPr>
      <w:rFonts w:eastAsia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19">
    <w:name w:val="ListLabel 19"/>
    <w:qFormat/>
    <w:rsid w:val="002A77B1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0">
    <w:name w:val="ListLabel 20"/>
    <w:qFormat/>
    <w:rsid w:val="002A77B1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1">
    <w:name w:val="ListLabel 21"/>
    <w:qFormat/>
    <w:rsid w:val="002A77B1"/>
    <w:rPr>
      <w:rFonts w:eastAsia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2">
    <w:name w:val="ListLabel 22"/>
    <w:qFormat/>
    <w:rsid w:val="002A77B1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3">
    <w:name w:val="ListLabel 23"/>
    <w:qFormat/>
    <w:rsid w:val="002A77B1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4">
    <w:name w:val="ListLabel 24"/>
    <w:qFormat/>
    <w:rsid w:val="002A77B1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25">
    <w:name w:val="ListLabel 25"/>
    <w:qFormat/>
    <w:rsid w:val="002A77B1"/>
    <w:rPr>
      <w:rFonts w:cs="Times New Roman"/>
    </w:rPr>
  </w:style>
  <w:style w:type="character" w:customStyle="1" w:styleId="ListLabel26">
    <w:name w:val="ListLabel 26"/>
    <w:qFormat/>
    <w:rsid w:val="002A77B1"/>
    <w:rPr>
      <w:rFonts w:cs="Courier New"/>
    </w:rPr>
  </w:style>
  <w:style w:type="character" w:customStyle="1" w:styleId="ListLabel27">
    <w:name w:val="ListLabel 27"/>
    <w:qFormat/>
    <w:rsid w:val="002A77B1"/>
    <w:rPr>
      <w:rFonts w:cs="Courier New"/>
    </w:rPr>
  </w:style>
  <w:style w:type="character" w:customStyle="1" w:styleId="ListLabel28">
    <w:name w:val="ListLabel 28"/>
    <w:qFormat/>
    <w:rsid w:val="002A77B1"/>
    <w:rPr>
      <w:rFonts w:cs="Courier New"/>
    </w:rPr>
  </w:style>
  <w:style w:type="character" w:customStyle="1" w:styleId="ListLabel29">
    <w:name w:val="ListLabel 29"/>
    <w:qFormat/>
    <w:rsid w:val="002A77B1"/>
    <w:rPr>
      <w:rFonts w:eastAsia="Calibri"/>
    </w:rPr>
  </w:style>
  <w:style w:type="character" w:customStyle="1" w:styleId="ListLabel30">
    <w:name w:val="ListLabel 30"/>
    <w:qFormat/>
    <w:rsid w:val="002A77B1"/>
    <w:rPr>
      <w:rFonts w:cs="Courier New"/>
    </w:rPr>
  </w:style>
  <w:style w:type="character" w:customStyle="1" w:styleId="ListLabel31">
    <w:name w:val="ListLabel 31"/>
    <w:qFormat/>
    <w:rsid w:val="002A77B1"/>
    <w:rPr>
      <w:rFonts w:cs="Courier New"/>
    </w:rPr>
  </w:style>
  <w:style w:type="character" w:customStyle="1" w:styleId="ListLabel32">
    <w:name w:val="ListLabel 32"/>
    <w:qFormat/>
    <w:rsid w:val="002A77B1"/>
    <w:rPr>
      <w:rFonts w:cs="Courier New"/>
    </w:rPr>
  </w:style>
  <w:style w:type="character" w:customStyle="1" w:styleId="ListLabel33">
    <w:name w:val="ListLabel 33"/>
    <w:qFormat/>
    <w:rsid w:val="002A77B1"/>
    <w:rPr>
      <w:sz w:val="22"/>
    </w:rPr>
  </w:style>
  <w:style w:type="character" w:customStyle="1" w:styleId="ListLabel34">
    <w:name w:val="ListLabel 34"/>
    <w:qFormat/>
    <w:rsid w:val="002A77B1"/>
    <w:rPr>
      <w:sz w:val="24"/>
    </w:rPr>
  </w:style>
  <w:style w:type="character" w:customStyle="1" w:styleId="ListLabel35">
    <w:name w:val="ListLabel 35"/>
    <w:qFormat/>
    <w:rsid w:val="002A77B1"/>
    <w:rPr>
      <w:sz w:val="24"/>
    </w:rPr>
  </w:style>
  <w:style w:type="character" w:customStyle="1" w:styleId="ListLabel36">
    <w:name w:val="ListLabel 36"/>
    <w:qFormat/>
    <w:rsid w:val="002A77B1"/>
    <w:rPr>
      <w:sz w:val="24"/>
    </w:rPr>
  </w:style>
  <w:style w:type="character" w:customStyle="1" w:styleId="ListLabel37">
    <w:name w:val="ListLabel 37"/>
    <w:qFormat/>
    <w:rsid w:val="002A77B1"/>
    <w:rPr>
      <w:sz w:val="24"/>
    </w:rPr>
  </w:style>
  <w:style w:type="character" w:customStyle="1" w:styleId="ListLabel38">
    <w:name w:val="ListLabel 38"/>
    <w:qFormat/>
    <w:rsid w:val="002A77B1"/>
    <w:rPr>
      <w:sz w:val="24"/>
    </w:rPr>
  </w:style>
  <w:style w:type="character" w:customStyle="1" w:styleId="ListLabel39">
    <w:name w:val="ListLabel 39"/>
    <w:qFormat/>
    <w:rsid w:val="002A77B1"/>
    <w:rPr>
      <w:sz w:val="24"/>
    </w:rPr>
  </w:style>
  <w:style w:type="character" w:customStyle="1" w:styleId="ListLabel40">
    <w:name w:val="ListLabel 40"/>
    <w:qFormat/>
    <w:rsid w:val="002A77B1"/>
    <w:rPr>
      <w:sz w:val="24"/>
    </w:rPr>
  </w:style>
  <w:style w:type="character" w:customStyle="1" w:styleId="ListLabel41">
    <w:name w:val="ListLabel 41"/>
    <w:qFormat/>
    <w:rsid w:val="002A77B1"/>
    <w:rPr>
      <w:sz w:val="24"/>
    </w:rPr>
  </w:style>
  <w:style w:type="character" w:customStyle="1" w:styleId="ListLabel42">
    <w:name w:val="ListLabel 42"/>
    <w:qFormat/>
    <w:rsid w:val="002A77B1"/>
    <w:rPr>
      <w:sz w:val="24"/>
    </w:rPr>
  </w:style>
  <w:style w:type="character" w:customStyle="1" w:styleId="ListLabel43">
    <w:name w:val="ListLabel 43"/>
    <w:qFormat/>
    <w:rsid w:val="002A77B1"/>
    <w:rPr>
      <w:rFonts w:cs="Times New Roman"/>
    </w:rPr>
  </w:style>
  <w:style w:type="character" w:customStyle="1" w:styleId="ListLabel44">
    <w:name w:val="ListLabel 44"/>
    <w:qFormat/>
    <w:rsid w:val="002A77B1"/>
    <w:rPr>
      <w:rFonts w:cs="Times New Roman"/>
    </w:rPr>
  </w:style>
  <w:style w:type="character" w:customStyle="1" w:styleId="ListLabel45">
    <w:name w:val="ListLabel 45"/>
    <w:qFormat/>
    <w:rsid w:val="002A77B1"/>
    <w:rPr>
      <w:rFonts w:cs="Times New Roman"/>
    </w:rPr>
  </w:style>
  <w:style w:type="character" w:customStyle="1" w:styleId="ListLabel46">
    <w:name w:val="ListLabel 46"/>
    <w:qFormat/>
    <w:rsid w:val="002A77B1"/>
    <w:rPr>
      <w:rFonts w:cs="Times New Roman"/>
    </w:rPr>
  </w:style>
  <w:style w:type="character" w:customStyle="1" w:styleId="ListLabel47">
    <w:name w:val="ListLabel 47"/>
    <w:qFormat/>
    <w:rsid w:val="002A77B1"/>
    <w:rPr>
      <w:rFonts w:cs="Times New Roman"/>
    </w:rPr>
  </w:style>
  <w:style w:type="character" w:customStyle="1" w:styleId="ListLabel48">
    <w:name w:val="ListLabel 48"/>
    <w:qFormat/>
    <w:rsid w:val="002A77B1"/>
    <w:rPr>
      <w:rFonts w:cs="Times New Roman"/>
    </w:rPr>
  </w:style>
  <w:style w:type="character" w:customStyle="1" w:styleId="ListLabel49">
    <w:name w:val="ListLabel 49"/>
    <w:qFormat/>
    <w:rsid w:val="002A77B1"/>
    <w:rPr>
      <w:rFonts w:cs="Times New Roman"/>
    </w:rPr>
  </w:style>
  <w:style w:type="character" w:customStyle="1" w:styleId="ListLabel50">
    <w:name w:val="ListLabel 50"/>
    <w:qFormat/>
    <w:rsid w:val="002A77B1"/>
    <w:rPr>
      <w:rFonts w:cs="Times New Roman"/>
    </w:rPr>
  </w:style>
  <w:style w:type="character" w:customStyle="1" w:styleId="ListLabel51">
    <w:name w:val="ListLabel 51"/>
    <w:qFormat/>
    <w:rsid w:val="002A77B1"/>
    <w:rPr>
      <w:rFonts w:cs="Times New Roman"/>
    </w:rPr>
  </w:style>
  <w:style w:type="character" w:customStyle="1" w:styleId="ListLabel52">
    <w:name w:val="ListLabel 52"/>
    <w:qFormat/>
    <w:rsid w:val="002A77B1"/>
    <w:rPr>
      <w:color w:val="632423"/>
    </w:rPr>
  </w:style>
  <w:style w:type="character" w:customStyle="1" w:styleId="ListLabel53">
    <w:name w:val="ListLabel 53"/>
    <w:qFormat/>
    <w:rsid w:val="002A77B1"/>
    <w:rPr>
      <w:color w:val="E36C0A"/>
      <w:sz w:val="18"/>
    </w:rPr>
  </w:style>
  <w:style w:type="character" w:customStyle="1" w:styleId="ListLabel54">
    <w:name w:val="ListLabel 54"/>
    <w:qFormat/>
    <w:rsid w:val="002A77B1"/>
    <w:rPr>
      <w:rFonts w:cs="Courier New"/>
    </w:rPr>
  </w:style>
  <w:style w:type="character" w:customStyle="1" w:styleId="ListLabel55">
    <w:name w:val="ListLabel 55"/>
    <w:qFormat/>
    <w:rsid w:val="002A77B1"/>
    <w:rPr>
      <w:rFonts w:cs="Courier New"/>
    </w:rPr>
  </w:style>
  <w:style w:type="character" w:customStyle="1" w:styleId="ListLabel56">
    <w:name w:val="ListLabel 56"/>
    <w:qFormat/>
    <w:rsid w:val="002A77B1"/>
    <w:rPr>
      <w:rFonts w:cs="Courier New"/>
    </w:rPr>
  </w:style>
  <w:style w:type="character" w:customStyle="1" w:styleId="ListLabel57">
    <w:name w:val="ListLabel 57"/>
    <w:qFormat/>
    <w:rsid w:val="002A77B1"/>
    <w:rPr>
      <w:rFonts w:cs="Times New Roman"/>
    </w:rPr>
  </w:style>
  <w:style w:type="character" w:customStyle="1" w:styleId="ListLabel58">
    <w:name w:val="ListLabel 58"/>
    <w:qFormat/>
    <w:rsid w:val="002A77B1"/>
    <w:rPr>
      <w:rFonts w:eastAsia="Times New Roman"/>
      <w:b/>
      <w:color w:val="0F243E"/>
    </w:rPr>
  </w:style>
  <w:style w:type="character" w:customStyle="1" w:styleId="ListLabel59">
    <w:name w:val="ListLabel 59"/>
    <w:qFormat/>
    <w:rsid w:val="002A77B1"/>
    <w:rPr>
      <w:rFonts w:cs="Courier New"/>
    </w:rPr>
  </w:style>
  <w:style w:type="character" w:customStyle="1" w:styleId="ListLabel60">
    <w:name w:val="ListLabel 60"/>
    <w:qFormat/>
    <w:rsid w:val="002A77B1"/>
    <w:rPr>
      <w:rFonts w:cs="Courier New"/>
    </w:rPr>
  </w:style>
  <w:style w:type="character" w:customStyle="1" w:styleId="ListLabel61">
    <w:name w:val="ListLabel 61"/>
    <w:qFormat/>
    <w:rsid w:val="002A77B1"/>
    <w:rPr>
      <w:rFonts w:cs="Courier New"/>
    </w:rPr>
  </w:style>
  <w:style w:type="paragraph" w:customStyle="1" w:styleId="af5">
    <w:name w:val="Заголовок"/>
    <w:basedOn w:val="a"/>
    <w:next w:val="af6"/>
    <w:qFormat/>
    <w:rsid w:val="002A77B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6">
    <w:name w:val="Body Text"/>
    <w:basedOn w:val="a"/>
    <w:unhideWhenUsed/>
    <w:rsid w:val="008F2E8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List"/>
    <w:basedOn w:val="af6"/>
    <w:rsid w:val="002A77B1"/>
    <w:rPr>
      <w:rFonts w:cs="Mangal"/>
    </w:rPr>
  </w:style>
  <w:style w:type="paragraph" w:customStyle="1" w:styleId="Caption">
    <w:name w:val="Caption"/>
    <w:basedOn w:val="a"/>
    <w:qFormat/>
    <w:rsid w:val="002A77B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8">
    <w:name w:val="index heading"/>
    <w:basedOn w:val="a"/>
    <w:qFormat/>
    <w:rsid w:val="002A77B1"/>
    <w:pPr>
      <w:suppressLineNumbers/>
    </w:pPr>
    <w:rPr>
      <w:rFonts w:cs="Mangal"/>
    </w:rPr>
  </w:style>
  <w:style w:type="paragraph" w:styleId="af9">
    <w:name w:val="List Paragraph"/>
    <w:basedOn w:val="a"/>
    <w:uiPriority w:val="34"/>
    <w:qFormat/>
    <w:rsid w:val="00100B27"/>
    <w:pPr>
      <w:ind w:left="720"/>
      <w:contextualSpacing/>
    </w:pPr>
  </w:style>
  <w:style w:type="paragraph" w:styleId="afa">
    <w:name w:val="Balloon Text"/>
    <w:basedOn w:val="a"/>
    <w:uiPriority w:val="99"/>
    <w:unhideWhenUsed/>
    <w:qFormat/>
    <w:rsid w:val="00CC6D8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4B558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Обычный"/>
    <w:basedOn w:val="a"/>
    <w:qFormat/>
    <w:rsid w:val="004B5586"/>
    <w:pPr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qFormat/>
    <w:rsid w:val="008F2E8D"/>
    <w:pPr>
      <w:widowControl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Заголовок №2"/>
    <w:basedOn w:val="a"/>
    <w:link w:val="22"/>
    <w:qFormat/>
    <w:rsid w:val="008F2E8D"/>
    <w:pPr>
      <w:widowControl w:val="0"/>
      <w:shd w:val="clear" w:color="auto" w:fill="FFFFFF"/>
      <w:spacing w:after="0" w:line="252" w:lineRule="auto"/>
      <w:ind w:firstLine="780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">
    <w:name w:val="Основной текст1"/>
    <w:basedOn w:val="a"/>
    <w:link w:val="10"/>
    <w:qFormat/>
    <w:rsid w:val="008F2E8D"/>
    <w:pPr>
      <w:widowControl w:val="0"/>
      <w:shd w:val="clear" w:color="auto" w:fill="FFFFFF"/>
      <w:spacing w:after="0" w:line="252" w:lineRule="auto"/>
      <w:ind w:firstLine="40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b">
    <w:name w:val="Подпись к таблице"/>
    <w:basedOn w:val="a"/>
    <w:qFormat/>
    <w:rsid w:val="008F2E8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c">
    <w:name w:val="Другое"/>
    <w:basedOn w:val="a"/>
    <w:qFormat/>
    <w:rsid w:val="008F2E8D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0">
    <w:name w:val="ConsPlusNormal"/>
    <w:qFormat/>
    <w:rsid w:val="00895D59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No Spacing"/>
    <w:uiPriority w:val="1"/>
    <w:qFormat/>
    <w:rsid w:val="00C063ED"/>
  </w:style>
  <w:style w:type="paragraph" w:customStyle="1" w:styleId="afe">
    <w:name w:val="Маркер"/>
    <w:basedOn w:val="aff"/>
    <w:next w:val="a"/>
    <w:qFormat/>
    <w:rsid w:val="00C063ED"/>
    <w:pPr>
      <w:spacing w:after="120"/>
      <w:ind w:left="720" w:hanging="360"/>
      <w:jc w:val="both"/>
    </w:pPr>
    <w:rPr>
      <w:rFonts w:ascii="Times New Roman" w:hAnsi="Times New Roman"/>
      <w:sz w:val="24"/>
    </w:rPr>
  </w:style>
  <w:style w:type="paragraph" w:styleId="aff">
    <w:name w:val="List Bullet"/>
    <w:basedOn w:val="a"/>
    <w:uiPriority w:val="99"/>
    <w:semiHidden/>
    <w:unhideWhenUsed/>
    <w:qFormat/>
    <w:rsid w:val="00C063ED"/>
    <w:pPr>
      <w:contextualSpacing/>
    </w:pPr>
  </w:style>
  <w:style w:type="paragraph" w:customStyle="1" w:styleId="22">
    <w:name w:val="Колонтитул (2)"/>
    <w:basedOn w:val="a"/>
    <w:link w:val="23"/>
    <w:qFormat/>
    <w:rsid w:val="00E812B1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customStyle="1" w:styleId="12">
    <w:name w:val="Заголовок №1"/>
    <w:basedOn w:val="a"/>
    <w:link w:val="10"/>
    <w:qFormat/>
    <w:rsid w:val="00E812B1"/>
    <w:pPr>
      <w:widowControl w:val="0"/>
      <w:shd w:val="clear" w:color="auto" w:fill="FFFFFF"/>
      <w:spacing w:after="240" w:line="240" w:lineRule="auto"/>
      <w:outlineLvl w:val="0"/>
    </w:pPr>
    <w:rPr>
      <w:rFonts w:ascii="Times New Roman" w:eastAsia="Times New Roman" w:hAnsi="Times New Roman" w:cs="Times New Roman"/>
    </w:rPr>
  </w:style>
  <w:style w:type="paragraph" w:customStyle="1" w:styleId="Footer">
    <w:name w:val="Footer"/>
    <w:basedOn w:val="a"/>
    <w:uiPriority w:val="99"/>
    <w:unhideWhenUsed/>
    <w:rsid w:val="00E812B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Header">
    <w:name w:val="Header"/>
    <w:basedOn w:val="a"/>
    <w:uiPriority w:val="99"/>
    <w:unhideWhenUsed/>
    <w:rsid w:val="00E812B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4">
    <w:name w:val="Без интервала2"/>
    <w:qFormat/>
    <w:rsid w:val="00E812B1"/>
    <w:rPr>
      <w:rFonts w:eastAsia="Times New Roman" w:cs="Times New Roman"/>
    </w:rPr>
  </w:style>
  <w:style w:type="paragraph" w:customStyle="1" w:styleId="aff0">
    <w:name w:val="Таблица"/>
    <w:basedOn w:val="a"/>
    <w:next w:val="a"/>
    <w:qFormat/>
    <w:rsid w:val="00E812B1"/>
    <w:pPr>
      <w:spacing w:after="0" w:line="240" w:lineRule="auto"/>
      <w:jc w:val="center"/>
    </w:pPr>
    <w:rPr>
      <w:rFonts w:ascii="Times New Roman" w:hAnsi="Times New Roman"/>
      <w:sz w:val="20"/>
    </w:rPr>
  </w:style>
  <w:style w:type="paragraph" w:styleId="aff1">
    <w:name w:val="Body Text Indent"/>
    <w:basedOn w:val="a"/>
    <w:uiPriority w:val="99"/>
    <w:semiHidden/>
    <w:unhideWhenUsed/>
    <w:rsid w:val="00E812B1"/>
    <w:pPr>
      <w:spacing w:after="120"/>
      <w:ind w:left="283"/>
    </w:pPr>
  </w:style>
  <w:style w:type="paragraph" w:customStyle="1" w:styleId="13">
    <w:name w:val="Абзац списка1"/>
    <w:basedOn w:val="a"/>
    <w:qFormat/>
    <w:rsid w:val="00E812B1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ff2">
    <w:name w:val="таблицы"/>
    <w:basedOn w:val="a"/>
    <w:uiPriority w:val="99"/>
    <w:qFormat/>
    <w:rsid w:val="00E812B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3">
    <w:name w:val="+Таб"/>
    <w:basedOn w:val="a"/>
    <w:qFormat/>
    <w:rsid w:val="00E812B1"/>
    <w:pPr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Preformat">
    <w:name w:val="Preformat"/>
    <w:qFormat/>
    <w:rsid w:val="00A05A65"/>
    <w:pPr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4">
    <w:name w:val="Normal (Web)"/>
    <w:basedOn w:val="a"/>
    <w:uiPriority w:val="99"/>
    <w:semiHidden/>
    <w:unhideWhenUsed/>
    <w:qFormat/>
    <w:rsid w:val="00172DF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НАБОРНЫЙ СОИНВЕСТ"/>
    <w:basedOn w:val="a"/>
    <w:qFormat/>
    <w:rsid w:val="000926E0"/>
    <w:pPr>
      <w:spacing w:line="240" w:lineRule="auto"/>
      <w:ind w:left="2410"/>
      <w:jc w:val="both"/>
    </w:pPr>
    <w:rPr>
      <w:rFonts w:ascii="Arial" w:eastAsiaTheme="minorEastAsia" w:hAnsi="Arial" w:cs="Arial"/>
      <w:lang w:eastAsia="ru-RU"/>
    </w:rPr>
  </w:style>
  <w:style w:type="paragraph" w:customStyle="1" w:styleId="aff6">
    <w:name w:val="Маркированные списки"/>
    <w:basedOn w:val="a"/>
    <w:qFormat/>
    <w:rsid w:val="000926E0"/>
    <w:pPr>
      <w:spacing w:after="240" w:line="240" w:lineRule="auto"/>
      <w:contextualSpacing/>
    </w:pPr>
    <w:rPr>
      <w:rFonts w:ascii="Arial" w:eastAsiaTheme="minorEastAsia" w:hAnsi="Arial" w:cs="Arial"/>
      <w:color w:val="262626" w:themeColor="text1" w:themeTint="D9"/>
      <w:lang w:eastAsia="ru-RU"/>
    </w:rPr>
  </w:style>
  <w:style w:type="table" w:styleId="aff7">
    <w:name w:val="Table Grid"/>
    <w:basedOn w:val="a1"/>
    <w:uiPriority w:val="59"/>
    <w:rsid w:val="008F2E8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DE50C-6615-4052-9ED6-1EA99A591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7108</TotalTime>
  <Pages>13</Pages>
  <Words>2837</Words>
  <Characters>16171</Characters>
  <Application>Microsoft Office Word</Application>
  <DocSecurity>0</DocSecurity>
  <Lines>134</Lines>
  <Paragraphs>37</Paragraphs>
  <ScaleCrop>false</ScaleCrop>
  <Company/>
  <LinksUpToDate>false</LinksUpToDate>
  <CharactersWithSpaces>18971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7. Обосновывающие материалы к Схема теплоснабжения ЗАТО Локомотивный городской округ  Челябинской области на период до 2027 года</dc:title>
  <dc:subject/>
  <dc:creator>Бастраков Владислав Андреевич</dc:creator>
  <dc:description/>
  <cp:lastModifiedBy>User</cp:lastModifiedBy>
  <cp:revision>71</cp:revision>
  <cp:lastPrinted>2019-03-18T06:05:00Z</cp:lastPrinted>
  <dcterms:created xsi:type="dcterms:W3CDTF">2018-12-08T10:25:00Z</dcterms:created>
  <dcterms:modified xsi:type="dcterms:W3CDTF">2022-06-30T06:06:00Z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